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7841" w14:textId="77777777" w:rsidR="62A02B67" w:rsidRPr="008D707D" w:rsidRDefault="62A02B67" w:rsidP="008D707D">
      <w:pPr>
        <w:jc w:val="center"/>
        <w:rPr>
          <w:rFonts w:ascii="High Tower Text" w:hAnsi="High Tower Text"/>
          <w:sz w:val="22"/>
        </w:rPr>
      </w:pPr>
    </w:p>
    <w:p w14:paraId="28FCC5E9" w14:textId="77777777" w:rsidR="00346001" w:rsidRDefault="00346001" w:rsidP="00346001">
      <w:pPr>
        <w:pStyle w:val="Normal1"/>
        <w:pBdr>
          <w:top w:val="nil"/>
          <w:left w:val="nil"/>
          <w:bottom w:val="nil"/>
          <w:right w:val="nil"/>
          <w:between w:val="nil"/>
        </w:pBdr>
        <w:spacing w:after="120"/>
        <w:ind w:hanging="2"/>
        <w:jc w:val="right"/>
        <w:rPr>
          <w:rFonts w:ascii="High Tower Text" w:eastAsia="Times New Roman" w:hAnsi="High Tower Text" w:cs="Times New Roman"/>
          <w:color w:val="000000"/>
          <w:sz w:val="20"/>
          <w:szCs w:val="20"/>
        </w:rPr>
      </w:pPr>
    </w:p>
    <w:p w14:paraId="17FCC3AA" w14:textId="13D2132F" w:rsidR="008D707D" w:rsidRPr="00346001" w:rsidRDefault="00346001" w:rsidP="00346001">
      <w:pPr>
        <w:pStyle w:val="Normal1"/>
        <w:pBdr>
          <w:top w:val="nil"/>
          <w:left w:val="nil"/>
          <w:bottom w:val="nil"/>
          <w:right w:val="nil"/>
          <w:between w:val="nil"/>
        </w:pBdr>
        <w:spacing w:after="120"/>
        <w:ind w:hanging="2"/>
        <w:jc w:val="right"/>
        <w:rPr>
          <w:rFonts w:ascii="High Tower Text" w:eastAsia="Times New Roman" w:hAnsi="High Tower Text" w:cs="Times New Roman"/>
          <w:color w:val="000000"/>
          <w:sz w:val="20"/>
          <w:szCs w:val="20"/>
        </w:rPr>
      </w:pPr>
      <w:r w:rsidRPr="00346001">
        <w:rPr>
          <w:rFonts w:ascii="High Tower Text" w:eastAsia="Times New Roman" w:hAnsi="High Tower Text" w:cs="Times New Roman"/>
          <w:color w:val="000000"/>
          <w:sz w:val="20"/>
          <w:szCs w:val="20"/>
        </w:rPr>
        <w:t>doi.org/</w:t>
      </w:r>
      <w:r w:rsidRPr="00346001">
        <w:rPr>
          <w:rFonts w:ascii="High Tower Text" w:eastAsia="Times New Roman" w:hAnsi="High Tower Text" w:cs="Times New Roman"/>
          <w:color w:val="000000"/>
          <w:sz w:val="20"/>
          <w:szCs w:val="20"/>
        </w:rPr>
        <w:t>10.51891/</w:t>
      </w:r>
      <w:proofErr w:type="gramStart"/>
      <w:r w:rsidRPr="00346001">
        <w:rPr>
          <w:rFonts w:ascii="High Tower Text" w:eastAsia="Times New Roman" w:hAnsi="High Tower Text" w:cs="Times New Roman"/>
          <w:color w:val="000000"/>
          <w:sz w:val="20"/>
          <w:szCs w:val="20"/>
        </w:rPr>
        <w:t>rease.v</w:t>
      </w:r>
      <w:proofErr w:type="gramEnd"/>
      <w:r w:rsidRPr="00346001">
        <w:rPr>
          <w:rFonts w:ascii="High Tower Text" w:eastAsia="Times New Roman" w:hAnsi="High Tower Text" w:cs="Times New Roman"/>
          <w:color w:val="000000"/>
          <w:sz w:val="20"/>
          <w:szCs w:val="20"/>
        </w:rPr>
        <w:t>12i9.30025</w:t>
      </w:r>
    </w:p>
    <w:p w14:paraId="1977D7C3" w14:textId="77777777" w:rsidR="008D707D" w:rsidRPr="008D707D" w:rsidRDefault="008D707D" w:rsidP="008D707D">
      <w:pPr>
        <w:pStyle w:val="Normal1"/>
        <w:pBdr>
          <w:top w:val="nil"/>
          <w:left w:val="nil"/>
          <w:bottom w:val="nil"/>
          <w:right w:val="nil"/>
          <w:between w:val="nil"/>
        </w:pBdr>
        <w:spacing w:after="120"/>
        <w:ind w:firstLine="0"/>
        <w:jc w:val="center"/>
        <w:rPr>
          <w:rFonts w:ascii="High Tower Text" w:eastAsia="Times New Roman" w:hAnsi="High Tower Text" w:cs="Times New Roman"/>
          <w:color w:val="000000"/>
        </w:rPr>
      </w:pPr>
    </w:p>
    <w:p w14:paraId="56EB1072" w14:textId="77777777" w:rsidR="008D707D" w:rsidRPr="008D707D" w:rsidRDefault="008D707D" w:rsidP="008D707D">
      <w:pPr>
        <w:pStyle w:val="Normal1"/>
        <w:pBdr>
          <w:top w:val="nil"/>
          <w:left w:val="nil"/>
          <w:bottom w:val="nil"/>
          <w:right w:val="nil"/>
          <w:between w:val="nil"/>
        </w:pBdr>
        <w:spacing w:before="120" w:after="120" w:line="240" w:lineRule="auto"/>
        <w:ind w:firstLine="0"/>
        <w:jc w:val="center"/>
        <w:rPr>
          <w:rFonts w:ascii="High Tower Text" w:eastAsia="Arial" w:hAnsi="High Tower Text" w:cs="Arial"/>
          <w:color w:val="000000"/>
          <w:sz w:val="24"/>
          <w:szCs w:val="24"/>
        </w:rPr>
      </w:pPr>
      <w:r w:rsidRPr="008D707D">
        <w:rPr>
          <w:rFonts w:ascii="High Tower Text" w:eastAsia="Arial" w:hAnsi="High Tower Text" w:cs="Arial"/>
          <w:b/>
          <w:bCs/>
          <w:color w:val="000000"/>
          <w:sz w:val="24"/>
          <w:szCs w:val="24"/>
        </w:rPr>
        <w:t xml:space="preserve">USO INDISCRIMINADO DE ESTEROIDES ANABOLIZANTES E SUAS REPERCUSSÕES SOBRE A </w:t>
      </w:r>
      <w:r w:rsidRPr="008D707D">
        <w:rPr>
          <w:rFonts w:ascii="High Tower Text" w:eastAsia="Arial" w:hAnsi="High Tower Text" w:cs="Arial"/>
          <w:b/>
          <w:bCs/>
          <w:sz w:val="24"/>
          <w:szCs w:val="24"/>
        </w:rPr>
        <w:t xml:space="preserve">SAÚDE </w:t>
      </w:r>
      <w:r w:rsidRPr="008D707D">
        <w:rPr>
          <w:rFonts w:ascii="High Tower Text" w:eastAsia="Arial" w:hAnsi="High Tower Text" w:cs="Arial"/>
          <w:b/>
          <w:bCs/>
          <w:color w:val="000000"/>
          <w:sz w:val="24"/>
          <w:szCs w:val="24"/>
        </w:rPr>
        <w:t xml:space="preserve">CARDIOVASCULAR EM </w:t>
      </w:r>
      <w:r w:rsidRPr="008D707D">
        <w:rPr>
          <w:rFonts w:ascii="High Tower Text" w:eastAsia="Arial" w:hAnsi="High Tower Text" w:cs="Arial"/>
          <w:b/>
          <w:bCs/>
          <w:sz w:val="24"/>
          <w:szCs w:val="24"/>
        </w:rPr>
        <w:t>ADULTOS JOVENS</w:t>
      </w:r>
    </w:p>
    <w:p w14:paraId="2214982A" w14:textId="77777777" w:rsidR="008D707D" w:rsidRPr="008D707D" w:rsidRDefault="008D707D" w:rsidP="008D707D">
      <w:pPr>
        <w:pStyle w:val="Normal1"/>
        <w:pBdr>
          <w:top w:val="nil"/>
          <w:left w:val="nil"/>
          <w:bottom w:val="nil"/>
          <w:right w:val="nil"/>
          <w:between w:val="nil"/>
        </w:pBdr>
        <w:spacing w:after="120"/>
        <w:ind w:hanging="2"/>
        <w:jc w:val="center"/>
        <w:rPr>
          <w:rFonts w:ascii="High Tower Text" w:eastAsia="Arial" w:hAnsi="High Tower Text" w:cs="Arial"/>
          <w:smallCaps/>
          <w:lang w:val="en-US"/>
        </w:rPr>
      </w:pPr>
      <w:r w:rsidRPr="008D707D">
        <w:rPr>
          <w:rFonts w:ascii="High Tower Text" w:eastAsia="Arial" w:hAnsi="High Tower Text" w:cs="Arial"/>
          <w:smallCaps/>
          <w:lang w:val="en-US"/>
        </w:rPr>
        <w:t>INDISCRIMINATE USE OF ANABOLIC STEROIDS AND THEIR REPERCUSSIONS ON CARDIOVASCULAR HEALTH IN YOUNG ADULTS</w:t>
      </w:r>
    </w:p>
    <w:p w14:paraId="0B1E41D4" w14:textId="77777777" w:rsidR="008D707D" w:rsidRPr="008D707D" w:rsidRDefault="008D707D" w:rsidP="008D707D">
      <w:pPr>
        <w:pStyle w:val="Normal1"/>
        <w:pBdr>
          <w:top w:val="nil"/>
          <w:left w:val="nil"/>
          <w:bottom w:val="nil"/>
          <w:right w:val="nil"/>
          <w:between w:val="nil"/>
        </w:pBdr>
        <w:spacing w:after="120"/>
        <w:ind w:hanging="2"/>
        <w:jc w:val="center"/>
        <w:rPr>
          <w:rFonts w:ascii="High Tower Text" w:eastAsia="Arial" w:hAnsi="High Tower Text" w:cs="Arial"/>
          <w:smallCaps/>
          <w:lang w:val="en-US"/>
        </w:rPr>
      </w:pPr>
    </w:p>
    <w:p w14:paraId="22D008D5" w14:textId="77777777" w:rsidR="008D707D" w:rsidRPr="008D707D" w:rsidRDefault="008D707D" w:rsidP="008D707D">
      <w:pPr>
        <w:shd w:val="clear" w:color="auto" w:fill="FFFFFF"/>
        <w:jc w:val="center"/>
        <w:rPr>
          <w:rFonts w:ascii="Garamond" w:eastAsia="Times New Roman" w:hAnsi="Garamond" w:cs="Times New Roman"/>
          <w:b/>
          <w:bCs/>
          <w:color w:val="000000" w:themeColor="text1"/>
          <w:sz w:val="22"/>
          <w:lang w:eastAsia="pt-BR"/>
        </w:rPr>
      </w:pPr>
      <w:r w:rsidRPr="008D707D">
        <w:rPr>
          <w:rFonts w:ascii="Garamond" w:eastAsia="Times New Roman" w:hAnsi="Garamond" w:cs="Times New Roman"/>
          <w:b/>
          <w:bCs/>
          <w:color w:val="000000" w:themeColor="text1"/>
          <w:sz w:val="22"/>
          <w:lang w:eastAsia="pt-BR"/>
        </w:rPr>
        <w:t>Gabrielle Ramos de Carvalho</w:t>
      </w:r>
      <w:r w:rsidRPr="008D707D">
        <w:rPr>
          <w:rStyle w:val="Refdenotaderodap"/>
          <w:rFonts w:ascii="Garamond" w:eastAsia="Times New Roman" w:hAnsi="Garamond" w:cs="Times New Roman"/>
          <w:b/>
          <w:bCs/>
          <w:color w:val="000000" w:themeColor="text1"/>
          <w:sz w:val="22"/>
          <w:lang w:eastAsia="pt-BR"/>
        </w:rPr>
        <w:footnoteReference w:id="1"/>
      </w:r>
    </w:p>
    <w:p w14:paraId="21EF8A4E" w14:textId="77777777" w:rsidR="008D707D" w:rsidRPr="008D707D" w:rsidRDefault="008D707D" w:rsidP="008D707D">
      <w:pPr>
        <w:shd w:val="clear" w:color="auto" w:fill="FFFFFF"/>
        <w:jc w:val="center"/>
        <w:rPr>
          <w:rFonts w:ascii="Garamond" w:eastAsia="Times New Roman" w:hAnsi="Garamond" w:cs="Times New Roman"/>
          <w:b/>
          <w:bCs/>
          <w:color w:val="000000" w:themeColor="text1"/>
          <w:sz w:val="22"/>
          <w:lang w:eastAsia="pt-BR"/>
        </w:rPr>
      </w:pPr>
      <w:r w:rsidRPr="008D707D">
        <w:rPr>
          <w:rFonts w:ascii="Garamond" w:eastAsia="Times New Roman" w:hAnsi="Garamond" w:cs="Times New Roman"/>
          <w:b/>
          <w:bCs/>
          <w:color w:val="000000" w:themeColor="text1"/>
          <w:sz w:val="22"/>
          <w:lang w:eastAsia="pt-BR"/>
        </w:rPr>
        <w:t>Emanuelle Oliveira da Silva</w:t>
      </w:r>
      <w:r w:rsidRPr="008D707D">
        <w:rPr>
          <w:rStyle w:val="Refdenotaderodap"/>
          <w:rFonts w:ascii="Garamond" w:eastAsia="Times New Roman" w:hAnsi="Garamond" w:cs="Times New Roman"/>
          <w:b/>
          <w:bCs/>
          <w:color w:val="000000" w:themeColor="text1"/>
          <w:sz w:val="22"/>
          <w:lang w:eastAsia="pt-BR"/>
        </w:rPr>
        <w:footnoteReference w:id="2"/>
      </w:r>
      <w:r w:rsidRPr="008D707D">
        <w:rPr>
          <w:rFonts w:ascii="Garamond" w:eastAsia="Times New Roman" w:hAnsi="Garamond" w:cs="Times New Roman"/>
          <w:b/>
          <w:bCs/>
          <w:color w:val="000000" w:themeColor="text1"/>
          <w:sz w:val="22"/>
          <w:lang w:eastAsia="pt-BR"/>
        </w:rPr>
        <w:br/>
        <w:t>Bianca da Silva Cardoso Porto</w:t>
      </w:r>
      <w:r w:rsidRPr="008D707D">
        <w:rPr>
          <w:rStyle w:val="Refdenotaderodap"/>
          <w:rFonts w:ascii="Garamond" w:eastAsia="Times New Roman" w:hAnsi="Garamond" w:cs="Times New Roman"/>
          <w:b/>
          <w:bCs/>
          <w:color w:val="000000" w:themeColor="text1"/>
          <w:sz w:val="22"/>
          <w:lang w:eastAsia="pt-BR"/>
        </w:rPr>
        <w:footnoteReference w:id="3"/>
      </w:r>
    </w:p>
    <w:p w14:paraId="7D998B47" w14:textId="77777777" w:rsidR="008D707D" w:rsidRPr="008D707D" w:rsidRDefault="008D707D" w:rsidP="008D707D">
      <w:pPr>
        <w:shd w:val="clear" w:color="auto" w:fill="FFFFFF"/>
        <w:jc w:val="center"/>
        <w:rPr>
          <w:rFonts w:ascii="Garamond" w:eastAsia="Times New Roman" w:hAnsi="Garamond" w:cs="Times New Roman"/>
          <w:b/>
          <w:bCs/>
          <w:color w:val="000000" w:themeColor="text1"/>
          <w:sz w:val="22"/>
          <w:lang w:eastAsia="pt-BR"/>
        </w:rPr>
      </w:pPr>
      <w:r w:rsidRPr="008D707D">
        <w:rPr>
          <w:rFonts w:ascii="Garamond" w:eastAsia="Times New Roman" w:hAnsi="Garamond" w:cs="Times New Roman"/>
          <w:b/>
          <w:bCs/>
          <w:color w:val="000000" w:themeColor="text1"/>
          <w:sz w:val="22"/>
          <w:lang w:eastAsia="pt-BR"/>
        </w:rPr>
        <w:t>Matheus Ramos de Carvalho</w:t>
      </w:r>
      <w:r w:rsidRPr="008D707D">
        <w:rPr>
          <w:rStyle w:val="Refdenotaderodap"/>
          <w:rFonts w:ascii="Garamond" w:eastAsia="Times New Roman" w:hAnsi="Garamond" w:cs="Times New Roman"/>
          <w:b/>
          <w:bCs/>
          <w:color w:val="000000" w:themeColor="text1"/>
          <w:sz w:val="22"/>
          <w:lang w:eastAsia="pt-BR"/>
        </w:rPr>
        <w:footnoteReference w:id="4"/>
      </w:r>
    </w:p>
    <w:p w14:paraId="068124CC" w14:textId="77777777" w:rsidR="008D707D" w:rsidRPr="008D707D" w:rsidRDefault="008D707D" w:rsidP="008D707D">
      <w:pPr>
        <w:shd w:val="clear" w:color="auto" w:fill="FFFFFF"/>
        <w:jc w:val="center"/>
        <w:rPr>
          <w:rFonts w:ascii="Garamond" w:eastAsia="Times New Roman" w:hAnsi="Garamond" w:cs="Times New Roman"/>
          <w:b/>
          <w:bCs/>
          <w:color w:val="000000" w:themeColor="text1"/>
          <w:sz w:val="22"/>
          <w:lang w:eastAsia="pt-BR"/>
        </w:rPr>
      </w:pPr>
      <w:r w:rsidRPr="008D707D">
        <w:rPr>
          <w:rFonts w:ascii="Garamond" w:eastAsia="Times New Roman" w:hAnsi="Garamond" w:cs="Times New Roman"/>
          <w:b/>
          <w:bCs/>
          <w:color w:val="000000" w:themeColor="text1"/>
          <w:sz w:val="22"/>
          <w:lang w:eastAsia="pt-BR"/>
        </w:rPr>
        <w:t>Ramon Fraga de Souza Lima</w:t>
      </w:r>
      <w:r w:rsidRPr="008D707D">
        <w:rPr>
          <w:rStyle w:val="Refdenotaderodap"/>
          <w:rFonts w:ascii="Garamond" w:eastAsia="Times New Roman" w:hAnsi="Garamond" w:cs="Times New Roman"/>
          <w:b/>
          <w:bCs/>
          <w:color w:val="000000" w:themeColor="text1"/>
          <w:sz w:val="22"/>
          <w:lang w:eastAsia="pt-BR"/>
        </w:rPr>
        <w:footnoteReference w:id="5"/>
      </w:r>
    </w:p>
    <w:p w14:paraId="236D5F48" w14:textId="77777777" w:rsidR="008D707D" w:rsidRDefault="008D707D" w:rsidP="008D707D">
      <w:pPr>
        <w:pStyle w:val="Normal1"/>
        <w:pBdr>
          <w:top w:val="nil"/>
          <w:left w:val="nil"/>
          <w:bottom w:val="nil"/>
          <w:right w:val="nil"/>
          <w:between w:val="nil"/>
        </w:pBdr>
        <w:spacing w:after="120"/>
        <w:ind w:hanging="2"/>
        <w:jc w:val="both"/>
        <w:rPr>
          <w:color w:val="FF0000"/>
        </w:rPr>
      </w:pPr>
    </w:p>
    <w:p w14:paraId="35ED1756" w14:textId="77777777" w:rsidR="008D707D" w:rsidRPr="008D707D" w:rsidRDefault="008D707D" w:rsidP="008D707D">
      <w:pPr>
        <w:pStyle w:val="Normal1"/>
        <w:pBdr>
          <w:top w:val="nil"/>
          <w:left w:val="nil"/>
          <w:bottom w:val="nil"/>
          <w:right w:val="nil"/>
          <w:between w:val="nil"/>
        </w:pBdr>
        <w:spacing w:after="120" w:line="240" w:lineRule="auto"/>
        <w:ind w:hanging="2"/>
        <w:jc w:val="both"/>
        <w:rPr>
          <w:rFonts w:ascii="High Tower Text" w:eastAsia="Arial" w:hAnsi="High Tower Text" w:cs="Arial"/>
          <w:color w:val="000000"/>
          <w:sz w:val="24"/>
          <w:szCs w:val="24"/>
        </w:rPr>
      </w:pPr>
      <w:r w:rsidRPr="008D707D">
        <w:rPr>
          <w:rFonts w:ascii="High Tower Text" w:eastAsia="Arial" w:hAnsi="High Tower Text" w:cs="Arial"/>
          <w:color w:val="C45911" w:themeColor="accent2" w:themeShade="BF"/>
          <w:sz w:val="24"/>
          <w:szCs w:val="24"/>
        </w:rPr>
        <w:t>RESUMO:</w:t>
      </w:r>
      <w:r w:rsidRPr="008D707D">
        <w:rPr>
          <w:rFonts w:ascii="High Tower Text" w:eastAsia="Arial" w:hAnsi="High Tower Text" w:cs="Arial"/>
          <w:b/>
          <w:bCs/>
          <w:color w:val="C45911" w:themeColor="accent2" w:themeShade="BF"/>
          <w:sz w:val="24"/>
          <w:szCs w:val="24"/>
        </w:rPr>
        <w:t xml:space="preserve"> </w:t>
      </w:r>
      <w:r w:rsidRPr="008D707D">
        <w:rPr>
          <w:rFonts w:ascii="High Tower Text" w:eastAsia="Arial" w:hAnsi="High Tower Text" w:cs="Arial"/>
          <w:color w:val="000000"/>
          <w:sz w:val="24"/>
          <w:szCs w:val="24"/>
        </w:rPr>
        <w:t xml:space="preserve">A saúde cardiovascular constitui um pilar fundamental para a manutenção do bem-estar metabólico, físico e mental. Embora as doenças cardiovasculares sejam tradicionalmente associadas ao envelhecimento, observa-se um aumento progressivo de sua incidência entre indivíduos mais jovens, impulsionado principalmente por fatores relacionados ao estilo de vida e pelo uso não terapêutico de substâncias exógenas, como os esteroides anabolizantes. O uso desses hormônios está vinculado à busca por padrões estéticos, com o objetivo de promover ganho de massa muscular e melhora do desempenho físico, especialmente entre atletas jovens. Diante desse cenário, torna-se necessário compreender os impactos do uso exógeno de esteroides na saúde cardiovascular desses indivíduos, bem como reconhecer seu potencial de desencadear eventos graves e, em alguns casos, fatais. Metodologicamente, realizou-se uma revisão bibliográfica nas bases de dados </w:t>
      </w:r>
      <w:proofErr w:type="spellStart"/>
      <w:r w:rsidRPr="008D707D">
        <w:rPr>
          <w:rFonts w:ascii="High Tower Text" w:eastAsia="Arial" w:hAnsi="High Tower Text" w:cs="Arial"/>
          <w:color w:val="000000"/>
          <w:sz w:val="24"/>
          <w:szCs w:val="24"/>
        </w:rPr>
        <w:t>Pubmed</w:t>
      </w:r>
      <w:proofErr w:type="spellEnd"/>
      <w:r w:rsidRPr="008D707D">
        <w:rPr>
          <w:rFonts w:ascii="High Tower Text" w:eastAsia="Arial" w:hAnsi="High Tower Text" w:cs="Arial"/>
          <w:color w:val="000000"/>
          <w:sz w:val="24"/>
          <w:szCs w:val="24"/>
        </w:rPr>
        <w:t xml:space="preserve"> e Biblioteca Virtual em Saúde (BVS), utilizando os descritores “</w:t>
      </w:r>
      <w:proofErr w:type="spellStart"/>
      <w:r w:rsidRPr="008D707D">
        <w:rPr>
          <w:rFonts w:ascii="High Tower Text" w:eastAsia="Arial" w:hAnsi="High Tower Text" w:cs="Arial"/>
          <w:color w:val="000000"/>
          <w:sz w:val="24"/>
          <w:szCs w:val="24"/>
        </w:rPr>
        <w:t>young</w:t>
      </w:r>
      <w:proofErr w:type="spellEnd"/>
      <w:r w:rsidRPr="008D707D">
        <w:rPr>
          <w:rFonts w:ascii="High Tower Text" w:eastAsia="Arial" w:hAnsi="High Tower Text" w:cs="Arial"/>
          <w:color w:val="000000"/>
          <w:sz w:val="24"/>
          <w:szCs w:val="24"/>
        </w:rPr>
        <w:t xml:space="preserve"> </w:t>
      </w:r>
      <w:proofErr w:type="spellStart"/>
      <w:r w:rsidRPr="008D707D">
        <w:rPr>
          <w:rFonts w:ascii="High Tower Text" w:eastAsia="Arial" w:hAnsi="High Tower Text" w:cs="Arial"/>
          <w:color w:val="000000"/>
          <w:sz w:val="24"/>
          <w:szCs w:val="24"/>
        </w:rPr>
        <w:t>adults</w:t>
      </w:r>
      <w:proofErr w:type="spellEnd"/>
      <w:r w:rsidRPr="008D707D">
        <w:rPr>
          <w:rFonts w:ascii="High Tower Text" w:eastAsia="Arial" w:hAnsi="High Tower Text" w:cs="Arial"/>
          <w:color w:val="000000"/>
          <w:sz w:val="24"/>
          <w:szCs w:val="24"/>
        </w:rPr>
        <w:t>”, “</w:t>
      </w:r>
      <w:proofErr w:type="spellStart"/>
      <w:r w:rsidRPr="008D707D">
        <w:rPr>
          <w:rFonts w:ascii="High Tower Text" w:eastAsia="Arial" w:hAnsi="High Tower Text" w:cs="Arial"/>
          <w:color w:val="000000"/>
          <w:sz w:val="24"/>
          <w:szCs w:val="24"/>
        </w:rPr>
        <w:t>heart</w:t>
      </w:r>
      <w:proofErr w:type="spellEnd"/>
      <w:r w:rsidRPr="008D707D">
        <w:rPr>
          <w:rFonts w:ascii="High Tower Text" w:eastAsia="Arial" w:hAnsi="High Tower Text" w:cs="Arial"/>
          <w:color w:val="000000"/>
          <w:sz w:val="24"/>
          <w:szCs w:val="24"/>
        </w:rPr>
        <w:t xml:space="preserve"> </w:t>
      </w:r>
      <w:proofErr w:type="spellStart"/>
      <w:r w:rsidRPr="008D707D">
        <w:rPr>
          <w:rFonts w:ascii="High Tower Text" w:eastAsia="Arial" w:hAnsi="High Tower Text" w:cs="Arial"/>
          <w:color w:val="000000"/>
          <w:sz w:val="24"/>
          <w:szCs w:val="24"/>
        </w:rPr>
        <w:t>disease</w:t>
      </w:r>
      <w:proofErr w:type="spellEnd"/>
      <w:r w:rsidRPr="008D707D">
        <w:rPr>
          <w:rFonts w:ascii="High Tower Text" w:eastAsia="Arial" w:hAnsi="High Tower Text" w:cs="Arial"/>
          <w:color w:val="000000"/>
          <w:sz w:val="24"/>
          <w:szCs w:val="24"/>
        </w:rPr>
        <w:t>”, “</w:t>
      </w:r>
      <w:proofErr w:type="spellStart"/>
      <w:r w:rsidRPr="008D707D">
        <w:rPr>
          <w:rFonts w:ascii="High Tower Text" w:eastAsia="Arial" w:hAnsi="High Tower Text" w:cs="Arial"/>
          <w:color w:val="000000"/>
          <w:sz w:val="24"/>
          <w:szCs w:val="24"/>
        </w:rPr>
        <w:t>androgenic</w:t>
      </w:r>
      <w:proofErr w:type="spellEnd"/>
      <w:r w:rsidRPr="008D707D">
        <w:rPr>
          <w:rFonts w:ascii="High Tower Text" w:eastAsia="Arial" w:hAnsi="High Tower Text" w:cs="Arial"/>
          <w:color w:val="000000"/>
          <w:sz w:val="24"/>
          <w:szCs w:val="24"/>
        </w:rPr>
        <w:t xml:space="preserve">”, em conjunto do operador booleano AND. </w:t>
      </w:r>
      <w:r w:rsidRPr="008D707D">
        <w:rPr>
          <w:rFonts w:ascii="High Tower Text" w:eastAsia="Arial" w:hAnsi="High Tower Text" w:cs="Arial"/>
          <w:color w:val="000000"/>
          <w:sz w:val="24"/>
          <w:szCs w:val="24"/>
          <w:highlight w:val="white"/>
        </w:rPr>
        <w:t xml:space="preserve">Para a realização dessa pesquisa, foram utilizados estudos observacionais e textos completos publicados nos últimos 10 anos. Textos duplicados ou indisponíveis foram descartados. Após as etapas de identificação, triagem, elegibilidade e análise dos textos completos, </w:t>
      </w:r>
      <w:r w:rsidRPr="008D707D">
        <w:rPr>
          <w:rFonts w:ascii="High Tower Text" w:eastAsia="Arial" w:hAnsi="High Tower Text" w:cs="Arial"/>
          <w:sz w:val="24"/>
          <w:szCs w:val="24"/>
          <w:highlight w:val="white"/>
        </w:rPr>
        <w:t xml:space="preserve">3 </w:t>
      </w:r>
      <w:r w:rsidRPr="008D707D">
        <w:rPr>
          <w:rFonts w:ascii="High Tower Text" w:eastAsia="Arial" w:hAnsi="High Tower Text" w:cs="Arial"/>
          <w:color w:val="000000"/>
          <w:sz w:val="24"/>
          <w:szCs w:val="24"/>
          <w:highlight w:val="white"/>
        </w:rPr>
        <w:t xml:space="preserve">estudos foram incluídos na síntese final. </w:t>
      </w:r>
      <w:r w:rsidRPr="008D707D">
        <w:rPr>
          <w:rFonts w:ascii="High Tower Text" w:eastAsia="Arial" w:hAnsi="High Tower Text" w:cs="Arial"/>
          <w:color w:val="000000"/>
          <w:sz w:val="24"/>
          <w:szCs w:val="24"/>
        </w:rPr>
        <w:t xml:space="preserve">Os estudos analisados demonstraram que o consumo excessivo dessas substâncias de forma indiscriminada tem sido associado a diversas </w:t>
      </w:r>
      <w:r w:rsidRPr="008D707D">
        <w:rPr>
          <w:rFonts w:ascii="High Tower Text" w:eastAsia="Arial" w:hAnsi="High Tower Text" w:cs="Arial"/>
          <w:color w:val="000000"/>
          <w:sz w:val="24"/>
          <w:szCs w:val="24"/>
          <w:highlight w:val="white"/>
        </w:rPr>
        <w:t>consequências</w:t>
      </w:r>
      <w:r w:rsidRPr="008D707D">
        <w:rPr>
          <w:rFonts w:ascii="High Tower Text" w:eastAsia="Arial" w:hAnsi="High Tower Text" w:cs="Arial"/>
          <w:color w:val="000000"/>
          <w:sz w:val="24"/>
          <w:szCs w:val="24"/>
        </w:rPr>
        <w:t>, incluindo alterações no perfil lipídico, arritmias, isquemia miocárdica e remodelamento cardíaco precoce. Conclui-se, portanto, para um possível</w:t>
      </w:r>
      <w:r w:rsidRPr="008D707D">
        <w:rPr>
          <w:rFonts w:ascii="High Tower Text" w:eastAsia="Arial" w:hAnsi="High Tower Text" w:cs="Arial"/>
          <w:color w:val="FF0000"/>
          <w:sz w:val="24"/>
          <w:szCs w:val="24"/>
        </w:rPr>
        <w:t xml:space="preserve"> </w:t>
      </w:r>
      <w:r w:rsidRPr="008D707D">
        <w:rPr>
          <w:rFonts w:ascii="High Tower Text" w:eastAsia="Arial" w:hAnsi="High Tower Text" w:cs="Arial"/>
          <w:color w:val="000000"/>
          <w:sz w:val="24"/>
          <w:szCs w:val="24"/>
        </w:rPr>
        <w:t>comprometimento estrutural e funcional do coração e aumento de fatores de risco cardiovasculares, embora a magnitude e a reversibilidade desses efeitos ainda não estejam completamente estabelecidas. A limitada quantidade de estudos diretamente compatíveis com a população estudada reforça a necessidade de pesquisas longitudinais com amostras maiores e critérios padronizados de exposição aos esteroides anabolizantes androgênicos (EAA).</w:t>
      </w:r>
    </w:p>
    <w:p w14:paraId="63A51156" w14:textId="77777777" w:rsidR="008D707D" w:rsidRPr="008D707D" w:rsidRDefault="008D707D" w:rsidP="00346001">
      <w:pPr>
        <w:pStyle w:val="Normal1"/>
        <w:pBdr>
          <w:top w:val="nil"/>
          <w:left w:val="nil"/>
          <w:bottom w:val="nil"/>
          <w:right w:val="nil"/>
          <w:between w:val="nil"/>
        </w:pBdr>
        <w:spacing w:before="100" w:beforeAutospacing="1" w:after="0" w:line="240" w:lineRule="auto"/>
        <w:ind w:firstLine="0"/>
        <w:jc w:val="both"/>
        <w:rPr>
          <w:rFonts w:ascii="High Tower Text" w:eastAsia="Arial" w:hAnsi="High Tower Text" w:cs="Arial"/>
          <w:color w:val="000000"/>
          <w:sz w:val="24"/>
          <w:szCs w:val="24"/>
          <w:lang w:val="en-US"/>
        </w:rPr>
      </w:pPr>
      <w:r w:rsidRPr="008D707D">
        <w:rPr>
          <w:rFonts w:ascii="High Tower Text" w:eastAsia="Arial" w:hAnsi="High Tower Text" w:cs="Arial"/>
          <w:b/>
          <w:bCs/>
          <w:color w:val="000000"/>
          <w:sz w:val="24"/>
          <w:szCs w:val="24"/>
        </w:rPr>
        <w:t xml:space="preserve">Palavras-chave: </w:t>
      </w:r>
      <w:r w:rsidRPr="008D707D">
        <w:rPr>
          <w:rFonts w:ascii="High Tower Text" w:eastAsia="Arial" w:hAnsi="High Tower Text" w:cs="Arial"/>
          <w:i/>
          <w:color w:val="000000"/>
          <w:sz w:val="24"/>
          <w:szCs w:val="24"/>
        </w:rPr>
        <w:t>Esteroide</w:t>
      </w:r>
      <w:r w:rsidRPr="008D707D">
        <w:rPr>
          <w:rFonts w:ascii="High Tower Text" w:eastAsia="Arial" w:hAnsi="High Tower Text" w:cs="Arial"/>
          <w:color w:val="000000"/>
          <w:sz w:val="24"/>
          <w:szCs w:val="24"/>
        </w:rPr>
        <w:t xml:space="preserve">s anabolizantes androgênicos. </w:t>
      </w:r>
      <w:proofErr w:type="spellStart"/>
      <w:r w:rsidRPr="008D707D">
        <w:rPr>
          <w:rFonts w:ascii="High Tower Text" w:eastAsia="Arial" w:hAnsi="High Tower Text" w:cs="Arial"/>
          <w:color w:val="000000"/>
          <w:sz w:val="24"/>
          <w:szCs w:val="24"/>
          <w:lang w:val="en-US"/>
        </w:rPr>
        <w:t>Doenças</w:t>
      </w:r>
      <w:proofErr w:type="spellEnd"/>
      <w:r w:rsidRPr="008D707D">
        <w:rPr>
          <w:rFonts w:ascii="High Tower Text" w:eastAsia="Arial" w:hAnsi="High Tower Text" w:cs="Arial"/>
          <w:color w:val="000000"/>
          <w:sz w:val="24"/>
          <w:szCs w:val="24"/>
          <w:lang w:val="en-US"/>
        </w:rPr>
        <w:t xml:space="preserve"> </w:t>
      </w:r>
      <w:proofErr w:type="spellStart"/>
      <w:r w:rsidRPr="008D707D">
        <w:rPr>
          <w:rFonts w:ascii="High Tower Text" w:eastAsia="Arial" w:hAnsi="High Tower Text" w:cs="Arial"/>
          <w:color w:val="000000"/>
          <w:sz w:val="24"/>
          <w:szCs w:val="24"/>
          <w:lang w:val="en-US"/>
        </w:rPr>
        <w:t>cardiovasculares</w:t>
      </w:r>
      <w:proofErr w:type="spellEnd"/>
      <w:r w:rsidRPr="008D707D">
        <w:rPr>
          <w:rFonts w:ascii="High Tower Text" w:eastAsia="Arial" w:hAnsi="High Tower Text" w:cs="Arial"/>
          <w:color w:val="000000"/>
          <w:sz w:val="24"/>
          <w:szCs w:val="24"/>
          <w:lang w:val="en-US"/>
        </w:rPr>
        <w:t xml:space="preserve">. Jovens </w:t>
      </w:r>
      <w:proofErr w:type="spellStart"/>
      <w:r w:rsidRPr="008D707D">
        <w:rPr>
          <w:rFonts w:ascii="High Tower Text" w:eastAsia="Arial" w:hAnsi="High Tower Text" w:cs="Arial"/>
          <w:color w:val="000000"/>
          <w:sz w:val="24"/>
          <w:szCs w:val="24"/>
          <w:lang w:val="en-US"/>
        </w:rPr>
        <w:t>adultos</w:t>
      </w:r>
      <w:proofErr w:type="spellEnd"/>
    </w:p>
    <w:p w14:paraId="1125BC35"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lang w:val="en-US"/>
        </w:rPr>
      </w:pPr>
      <w:r w:rsidRPr="008D707D">
        <w:rPr>
          <w:rFonts w:ascii="High Tower Text" w:eastAsia="Arial" w:hAnsi="High Tower Text" w:cs="Arial"/>
          <w:color w:val="C45911" w:themeColor="accent2" w:themeShade="BF"/>
          <w:lang w:val="en-US"/>
        </w:rPr>
        <w:lastRenderedPageBreak/>
        <w:t>ABSTRACT:</w:t>
      </w:r>
      <w:r w:rsidRPr="008D707D">
        <w:rPr>
          <w:rFonts w:ascii="High Tower Text" w:eastAsia="Arial" w:hAnsi="High Tower Text" w:cs="Arial"/>
          <w:b/>
          <w:bCs/>
          <w:color w:val="C45911" w:themeColor="accent2" w:themeShade="BF"/>
          <w:lang w:val="en-US"/>
        </w:rPr>
        <w:t xml:space="preserve"> </w:t>
      </w:r>
      <w:r w:rsidRPr="008D707D">
        <w:rPr>
          <w:rFonts w:ascii="High Tower Text" w:eastAsia="Arial" w:hAnsi="High Tower Text" w:cs="Arial"/>
          <w:color w:val="000000"/>
          <w:lang w:val="en-US"/>
        </w:rPr>
        <w:t xml:space="preserve">Cardiovascular health is a fundamental pillar for maintaining metabolic, physical and mental well-being. Although cardiovascular diseases are traditionally associated with aging, there is a progressive increase in their incidence among younger individuals, driven mainly by factors related to lifestyle and the indiscriminate use of exogenous substances, such as anabolic steroids. The use of these hormones is linked to the search for aesthetic standards, with the aim of promoting muscle mass gain and improved physical performance, especially among young athletes. Given this scenario, it becomes essential to understand the impacts of the exogenous use of steroids on the cardiovascular health of these individuals, as well as to recognize their potential to trigger serious and, in some cases, fatal events. Methodologically, a bibliographic review was carried out in the </w:t>
      </w:r>
      <w:proofErr w:type="spellStart"/>
      <w:r w:rsidRPr="008D707D">
        <w:rPr>
          <w:rFonts w:ascii="High Tower Text" w:eastAsia="Arial" w:hAnsi="High Tower Text" w:cs="Arial"/>
          <w:color w:val="000000"/>
          <w:lang w:val="en-US"/>
        </w:rPr>
        <w:t>Pubmed</w:t>
      </w:r>
      <w:proofErr w:type="spellEnd"/>
      <w:r w:rsidRPr="008D707D">
        <w:rPr>
          <w:rFonts w:ascii="High Tower Text" w:eastAsia="Arial" w:hAnsi="High Tower Text" w:cs="Arial"/>
          <w:color w:val="000000"/>
          <w:lang w:val="en-US"/>
        </w:rPr>
        <w:t xml:space="preserve"> and Virtual Health Library (BVS) databases, using the descriptors "young adults", "heart disease", "androgenic", together with the </w:t>
      </w:r>
      <w:proofErr w:type="spellStart"/>
      <w:r w:rsidRPr="008D707D">
        <w:rPr>
          <w:rFonts w:ascii="High Tower Text" w:eastAsia="Arial" w:hAnsi="High Tower Text" w:cs="Arial"/>
          <w:color w:val="000000"/>
          <w:lang w:val="en-US"/>
        </w:rPr>
        <w:t>boolean</w:t>
      </w:r>
      <w:proofErr w:type="spellEnd"/>
      <w:r w:rsidRPr="008D707D">
        <w:rPr>
          <w:rFonts w:ascii="High Tower Text" w:eastAsia="Arial" w:hAnsi="High Tower Text" w:cs="Arial"/>
          <w:color w:val="000000"/>
          <w:lang w:val="en-US"/>
        </w:rPr>
        <w:t xml:space="preserve"> operator AND. To carry out this research, observational studies and full texts published in the last 10 years were used. Duplicate or unavailable texts have been discarded. After the stages of identification, screening, eligibility and analysis of the full texts, 4 studies were included in the final synthesis. The analyzed studies showed that excessive consumption of these substances indiscriminately has been associated with several consequences, including changes in the lipid profile, arrhythmias, myocardial ischemia and early cardiac remodeling. It is concluded, therefore, for a possible structural and functional impairment of the heart and increased cardiovascular risk factors, although the magnitude and reversibility of these effects are not yet fully established. The limited number of studies directly compatible with the population studied reinforces the need for longitudinal research with larger samples and standardized criteria for exposure to androgenic anabolic steroids (EAA).</w:t>
      </w:r>
    </w:p>
    <w:p w14:paraId="6FB1E9C2" w14:textId="7D2305A7" w:rsidR="008D707D" w:rsidRPr="008D707D" w:rsidRDefault="008D707D" w:rsidP="008D707D">
      <w:pPr>
        <w:pStyle w:val="Normal1"/>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firstLine="0"/>
        <w:jc w:val="both"/>
        <w:rPr>
          <w:rFonts w:ascii="High Tower Text" w:eastAsia="Arial" w:hAnsi="High Tower Text" w:cs="Arial"/>
          <w:color w:val="212121"/>
          <w:lang w:val="en-US"/>
        </w:rPr>
      </w:pPr>
      <w:r w:rsidRPr="008D707D">
        <w:rPr>
          <w:rFonts w:ascii="High Tower Text" w:eastAsia="Arial" w:hAnsi="High Tower Text" w:cs="Arial"/>
          <w:b/>
          <w:bCs/>
          <w:color w:val="212121"/>
          <w:lang w:val="en-US"/>
        </w:rPr>
        <w:t xml:space="preserve">Keywords: </w:t>
      </w:r>
      <w:r w:rsidRPr="008D707D">
        <w:rPr>
          <w:rFonts w:ascii="High Tower Text" w:eastAsia="Arial" w:hAnsi="High Tower Text" w:cs="Arial"/>
          <w:color w:val="212121"/>
          <w:lang w:val="en-US"/>
        </w:rPr>
        <w:t xml:space="preserve"> </w:t>
      </w:r>
      <w:r w:rsidRPr="008D707D">
        <w:rPr>
          <w:rFonts w:ascii="High Tower Text" w:eastAsia="Arial" w:hAnsi="High Tower Text" w:cs="Arial"/>
          <w:color w:val="000000"/>
          <w:highlight w:val="white"/>
          <w:lang w:val="en-US"/>
        </w:rPr>
        <w:t>Androgenic anabolic steroids</w:t>
      </w:r>
      <w:r>
        <w:rPr>
          <w:rFonts w:ascii="High Tower Text" w:eastAsia="Arial" w:hAnsi="High Tower Text" w:cs="Arial"/>
          <w:color w:val="000000"/>
          <w:highlight w:val="white"/>
          <w:lang w:val="en-US"/>
        </w:rPr>
        <w:t>.</w:t>
      </w:r>
      <w:r w:rsidRPr="008D707D">
        <w:rPr>
          <w:rFonts w:ascii="High Tower Text" w:eastAsia="Arial" w:hAnsi="High Tower Text" w:cs="Arial"/>
          <w:color w:val="000000"/>
          <w:highlight w:val="white"/>
          <w:lang w:val="en-US"/>
        </w:rPr>
        <w:t xml:space="preserve"> Cardiovascular diseases</w:t>
      </w:r>
      <w:r>
        <w:rPr>
          <w:rFonts w:ascii="High Tower Text" w:eastAsia="Arial" w:hAnsi="High Tower Text" w:cs="Arial"/>
          <w:color w:val="000000"/>
          <w:highlight w:val="white"/>
          <w:lang w:val="en-US"/>
        </w:rPr>
        <w:t>.</w:t>
      </w:r>
      <w:r w:rsidRPr="008D707D">
        <w:rPr>
          <w:rFonts w:ascii="High Tower Text" w:eastAsia="Arial" w:hAnsi="High Tower Text" w:cs="Arial"/>
          <w:color w:val="000000"/>
          <w:highlight w:val="white"/>
          <w:lang w:val="en-US"/>
        </w:rPr>
        <w:t xml:space="preserve"> Young adults</w:t>
      </w:r>
      <w:r w:rsidRPr="008D707D">
        <w:rPr>
          <w:rFonts w:ascii="High Tower Text" w:eastAsia="Arial" w:hAnsi="High Tower Text" w:cs="Arial"/>
          <w:color w:val="212121"/>
          <w:lang w:val="en-US"/>
        </w:rPr>
        <w:t>.</w:t>
      </w:r>
    </w:p>
    <w:p w14:paraId="0423C445" w14:textId="76CDD6EE" w:rsidR="008D707D" w:rsidRPr="008D707D" w:rsidRDefault="008D707D" w:rsidP="008D707D">
      <w:pPr>
        <w:pStyle w:val="Normal1"/>
        <w:pBdr>
          <w:top w:val="nil"/>
          <w:left w:val="nil"/>
          <w:bottom w:val="nil"/>
          <w:right w:val="nil"/>
          <w:between w:val="nil"/>
        </w:pBdr>
        <w:spacing w:before="100" w:beforeAutospacing="1" w:after="100" w:afterAutospacing="1" w:line="240" w:lineRule="auto"/>
        <w:ind w:firstLine="0"/>
        <w:jc w:val="both"/>
        <w:rPr>
          <w:rFonts w:ascii="High Tower Text" w:eastAsia="Arial" w:hAnsi="High Tower Text" w:cs="Arial"/>
          <w:b/>
          <w:bCs/>
          <w:color w:val="000000" w:themeColor="text1"/>
          <w:sz w:val="20"/>
          <w:szCs w:val="20"/>
        </w:rPr>
      </w:pPr>
      <w:r w:rsidRPr="008D707D">
        <w:rPr>
          <w:rFonts w:ascii="High Tower Text" w:eastAsia="Arial" w:hAnsi="High Tower Text" w:cs="Arial"/>
          <w:b/>
          <w:bCs/>
          <w:color w:val="000000" w:themeColor="text1"/>
          <w:sz w:val="24"/>
          <w:szCs w:val="24"/>
        </w:rPr>
        <w:t>INTRODUÇÃO</w:t>
      </w:r>
    </w:p>
    <w:p w14:paraId="6B2D40F0"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As doenças cardiovasculares configuram-se como um dos principais desafios de saúde pública contemporâneos, sendo amplamente reconhecidas por seu elevado impacto na morbimortalidade da população mundial. Embora sua ocorrência seja mais frequente a faixas etárias mais avançadas, tais enfermidades vêm acometendo, de forma crescente, indivíduos jovens, evidenciando mudanças significativas no perfil epidemiológico. Esse fenômeno encontra-se diretamente relacionado a fatores ligados ao estilo de vida, como o sedentarismo, a alimentação inadequada, o tabagismo e a obesidade, aos quais se soma, de maneira cada vez mais preocupante, o uso indiscriminado de substâncias hormonais, especialmente os </w:t>
      </w:r>
      <w:r w:rsidRPr="008D707D">
        <w:rPr>
          <w:rFonts w:ascii="High Tower Text" w:eastAsia="Arial" w:hAnsi="High Tower Text" w:cs="Arial"/>
          <w:i/>
          <w:color w:val="000000" w:themeColor="text1"/>
          <w:sz w:val="24"/>
          <w:szCs w:val="24"/>
        </w:rPr>
        <w:t>esteroide</w:t>
      </w:r>
      <w:r w:rsidRPr="008D707D">
        <w:rPr>
          <w:rFonts w:ascii="High Tower Text" w:eastAsia="Arial" w:hAnsi="High Tower Text" w:cs="Arial"/>
          <w:color w:val="000000" w:themeColor="text1"/>
          <w:sz w:val="24"/>
          <w:szCs w:val="24"/>
        </w:rPr>
        <w:t>s anabolizantes androgênicos (EAA).</w:t>
      </w:r>
    </w:p>
    <w:p w14:paraId="42212808"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Sociedade Brasileira de Endocrinologia e Metabologia (SBEM) também manifesta preocupação com o uso de esteroides anabolizantes para fins estéticos e de desempenho “frequentemente estimulado pela mídia e por algumas celebridades, blogueiros, atletas e profissionais da saúde” (SOCIEDADE BRASILEIRA DE ENDOCRINOLOGIA E METABOLOGIA, 2026, p. 1). Destaca, ainda, que a busca por tais padrões têm impulsionado o consumo dessas substâncias entre a população jovial, frequentemente sem indicação clínica ou acompanhamento médico. Assim, enquanto a hipertrofia fisiológica observada em atletas seja </w:t>
      </w:r>
      <w:r w:rsidRPr="008D707D">
        <w:rPr>
          <w:rFonts w:ascii="High Tower Text" w:eastAsia="Arial" w:hAnsi="High Tower Text" w:cs="Arial"/>
          <w:color w:val="000000" w:themeColor="text1"/>
          <w:sz w:val="24"/>
          <w:szCs w:val="24"/>
        </w:rPr>
        <w:lastRenderedPageBreak/>
        <w:t xml:space="preserve">de maneira reversível e natural, induzidas pela prática constante de exercícios, a hipertrofia por hormônios exógenos é acompanhada de desenvolvimento precoce de disfunções cardiovasculares, podendo desencadear alterações estruturais e funcionais no sistema cardíaco. </w:t>
      </w:r>
    </w:p>
    <w:p w14:paraId="0D0983AA"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Como consequência, observam-se danos potencialmente graves e aumento do risco de eventos agudos, como arritmias, infarto, eventos tromboembólicos, aterosclerose e até mesmo casos de morte súbita (</w:t>
      </w:r>
      <w:r w:rsidRPr="008D707D">
        <w:rPr>
          <w:rFonts w:ascii="High Tower Text" w:eastAsia="Arial" w:hAnsi="High Tower Text" w:cs="Arial"/>
          <w:color w:val="000000" w:themeColor="text1"/>
          <w:sz w:val="24"/>
          <w:szCs w:val="24"/>
          <w:highlight w:val="white"/>
        </w:rPr>
        <w:t>BAGGISH AL,</w:t>
      </w:r>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2017), ampliando, assim, os desafios para a saúde pública e para a prevenção dessas enfermidades, afetando significativamente o bem-estar desses indivíduos. </w:t>
      </w:r>
    </w:p>
    <w:p w14:paraId="410CD28C"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Recentemente, foi demonstrado que hormônios como a testosterona e o estrogênio exercem influência direta e indireta sobre a saúde cardiovascular em homens e mulheres, desempenhando papéis essenciais na regulação de processos fisiológicos, como a pressão arterial, função endotelial e metabolismo lipídico (ARNOLD AP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2017). </w:t>
      </w:r>
    </w:p>
    <w:p w14:paraId="23F60AC5"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Nesse sentido, compreender os efeitos dessas substâncias, sobretudo quando utilizadas de forma exógena e sem acompanhamento médico torna-se essencial para analisar sua contribuição na progressão das doenças cardiovasculares. O uso não terapêutico de hormônios pode desencadear diversos desequilíbrios sistêmicos, potencializando os fatores de risco e favorecendo o desenvolvimento cada vez mais precoce e súbito de alterações cardíacas.</w:t>
      </w:r>
    </w:p>
    <w:p w14:paraId="3107ED1A"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Apesar da existência de revisões recentes sobre os efeitos adversos dos EAA em jovens adultos, permanece relevante aprofundar a análise específica das repercussões cardiovasculares associadas ao uso dessas substâncias. A literatura reúne estudos com diferentes desenhos, populações e períodos de exposição, o que dificulta a interpretação conjunta dos efeitos cardíacos e, especialmente, da possibilidade de recuperação após a interrupção do uso. Nesse contexto, uma análise direcionada às manifestações cardiovasculares pode contribuir para uma compreensão mais específica desse problema.</w:t>
      </w:r>
    </w:p>
    <w:p w14:paraId="181FC781"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Diante desse cenário, o presente estudo teve como objetivo analisar, por meio de revisão da literatura, as principais repercussões cardiovasculares associadas ao uso não terapêutico de esteroides anabolizantes androgênicos em adultos jovens, definidos neste estudo como pessoas com idade entre 18 e 29 anos, com ênfase nas alterações hemodinâmicas, metabólicas, estruturais e funcionais cardíacas, bem como na possibilidade de reversibilidade após a interrupção do uso. </w:t>
      </w:r>
    </w:p>
    <w:p w14:paraId="1635572A"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0"/>
          <w:szCs w:val="20"/>
        </w:rPr>
      </w:pPr>
    </w:p>
    <w:p w14:paraId="7EFF54F1" w14:textId="77777777" w:rsidR="008D707D" w:rsidRDefault="008D707D" w:rsidP="008D707D">
      <w:pPr>
        <w:pStyle w:val="Normal1"/>
        <w:pBdr>
          <w:top w:val="nil"/>
          <w:left w:val="nil"/>
          <w:bottom w:val="nil"/>
          <w:right w:val="nil"/>
          <w:between w:val="nil"/>
        </w:pBdr>
        <w:spacing w:after="120"/>
        <w:ind w:firstLine="0"/>
        <w:jc w:val="both"/>
        <w:rPr>
          <w:rFonts w:ascii="High Tower Text" w:eastAsia="Arial" w:hAnsi="High Tower Text" w:cs="Arial"/>
          <w:b/>
          <w:bCs/>
          <w:color w:val="000000" w:themeColor="text1"/>
          <w:sz w:val="24"/>
          <w:szCs w:val="24"/>
        </w:rPr>
      </w:pPr>
    </w:p>
    <w:p w14:paraId="29F4790D" w14:textId="77777777" w:rsidR="008D707D" w:rsidRDefault="008D707D" w:rsidP="008D707D">
      <w:pPr>
        <w:pStyle w:val="Normal1"/>
        <w:pBdr>
          <w:top w:val="nil"/>
          <w:left w:val="nil"/>
          <w:bottom w:val="nil"/>
          <w:right w:val="nil"/>
          <w:between w:val="nil"/>
        </w:pBdr>
        <w:spacing w:after="120"/>
        <w:ind w:firstLine="0"/>
        <w:jc w:val="both"/>
        <w:rPr>
          <w:rFonts w:ascii="High Tower Text" w:eastAsia="Arial" w:hAnsi="High Tower Text" w:cs="Arial"/>
          <w:b/>
          <w:bCs/>
          <w:color w:val="000000" w:themeColor="text1"/>
          <w:sz w:val="24"/>
          <w:szCs w:val="24"/>
        </w:rPr>
      </w:pPr>
    </w:p>
    <w:p w14:paraId="7D2A4F9A" w14:textId="7B7732A3" w:rsidR="008D707D" w:rsidRPr="008D707D" w:rsidRDefault="008D707D" w:rsidP="008D707D">
      <w:pPr>
        <w:pStyle w:val="Normal1"/>
        <w:pBdr>
          <w:top w:val="nil"/>
          <w:left w:val="nil"/>
          <w:bottom w:val="nil"/>
          <w:right w:val="nil"/>
          <w:between w:val="nil"/>
        </w:pBdr>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lastRenderedPageBreak/>
        <w:t xml:space="preserve">MÉTODOS </w:t>
      </w:r>
    </w:p>
    <w:p w14:paraId="5B3CCEA4"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Trata-se de uma revisão integrativa da literatura, de abordagem qualitativa e caráter descritivo, desenvolvida com o objetivo de identificar, reunir e sintetizar as evidências científicas disponíveis acerca </w:t>
      </w:r>
      <w:r w:rsidRPr="008D707D">
        <w:rPr>
          <w:rFonts w:ascii="High Tower Text" w:eastAsia="Arial" w:hAnsi="High Tower Text" w:cs="Arial"/>
          <w:color w:val="000000" w:themeColor="text1"/>
          <w:sz w:val="24"/>
          <w:szCs w:val="24"/>
          <w:highlight w:val="white"/>
        </w:rPr>
        <w:t xml:space="preserve">da associação entre o uso não terapêutico de anabolizantes que impactam em doenças cardiovasculares em jovens </w:t>
      </w:r>
      <w:proofErr w:type="gramStart"/>
      <w:r w:rsidRPr="008D707D">
        <w:rPr>
          <w:rFonts w:ascii="High Tower Text" w:eastAsia="Arial" w:hAnsi="High Tower Text" w:cs="Arial"/>
          <w:color w:val="000000" w:themeColor="text1"/>
          <w:sz w:val="24"/>
          <w:szCs w:val="24"/>
          <w:highlight w:val="white"/>
        </w:rPr>
        <w:t>adultos,  </w:t>
      </w:r>
      <w:r w:rsidRPr="008D707D">
        <w:rPr>
          <w:rFonts w:ascii="High Tower Text" w:eastAsia="Arial" w:hAnsi="High Tower Text" w:cs="Arial"/>
          <w:color w:val="000000" w:themeColor="text1"/>
          <w:sz w:val="24"/>
          <w:szCs w:val="24"/>
        </w:rPr>
        <w:t>além</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de  fornecer</w:t>
      </w:r>
      <w:proofErr w:type="gramEnd"/>
      <w:r w:rsidRPr="008D707D">
        <w:rPr>
          <w:rFonts w:ascii="High Tower Text" w:eastAsia="Arial" w:hAnsi="High Tower Text" w:cs="Arial"/>
          <w:color w:val="000000" w:themeColor="text1"/>
          <w:sz w:val="24"/>
          <w:szCs w:val="24"/>
        </w:rPr>
        <w:t xml:space="preserve"> recomendações e direcionamentos para pesquisas futuras mais aprofundadas. Para tanto, seguiu-se, de forma sistematizada, seis etapas principais, como definição da pergunta norteadora; realização da busca na literatura; coleta dos dados; análise crítica dos estudos selecionados; discussão dos resultados; </w:t>
      </w:r>
      <w:proofErr w:type="gramStart"/>
      <w:r w:rsidRPr="008D707D">
        <w:rPr>
          <w:rFonts w:ascii="High Tower Text" w:eastAsia="Arial" w:hAnsi="High Tower Text" w:cs="Arial"/>
          <w:color w:val="000000" w:themeColor="text1"/>
          <w:sz w:val="24"/>
          <w:szCs w:val="24"/>
        </w:rPr>
        <w:t>e ,</w:t>
      </w:r>
      <w:proofErr w:type="gramEnd"/>
      <w:r w:rsidRPr="008D707D">
        <w:rPr>
          <w:rFonts w:ascii="High Tower Text" w:eastAsia="Arial" w:hAnsi="High Tower Text" w:cs="Arial"/>
          <w:color w:val="000000" w:themeColor="text1"/>
          <w:sz w:val="24"/>
          <w:szCs w:val="24"/>
        </w:rPr>
        <w:t xml:space="preserve"> por último, a apresentação da revisão integrativa. </w:t>
      </w:r>
    </w:p>
    <w:p w14:paraId="46D0419E"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adoção dessa metodologia permite identificar, organizar e analisar o conhecimento já produzido acerca de determinado tema, possibilitando uma compreensão mais ampla do estado atual das pesquisas. Além disso, os resultados obtidos podem contribuir para a identificação de lacunas na literatura, bem como para a formulação de recomendações e o direcionamento de novas investigações que aprofundem aspectos ainda pouco explorados. </w:t>
      </w:r>
    </w:p>
    <w:p w14:paraId="3E5A8D83" w14:textId="4AE61020" w:rsidR="008D707D" w:rsidRPr="008D707D" w:rsidRDefault="008D707D" w:rsidP="008D707D">
      <w:pPr>
        <w:pStyle w:val="Normal1"/>
        <w:spacing w:before="100" w:beforeAutospacing="1" w:after="100" w:afterAutospacing="1" w:line="240" w:lineRule="auto"/>
        <w:ind w:right="238" w:firstLine="0"/>
        <w:jc w:val="both"/>
        <w:rPr>
          <w:rFonts w:ascii="High Tower Text" w:eastAsia="Arial" w:hAnsi="High Tower Text" w:cs="Arial"/>
          <w:color w:val="000000" w:themeColor="text1"/>
          <w:sz w:val="24"/>
          <w:szCs w:val="24"/>
        </w:rPr>
      </w:pPr>
      <w:r w:rsidRPr="008D707D">
        <w:rPr>
          <w:rFonts w:ascii="High Tower Text" w:eastAsia="Arial" w:hAnsi="High Tower Text" w:cs="Arial"/>
          <w:b/>
          <w:bCs/>
          <w:color w:val="000000" w:themeColor="text1"/>
          <w:sz w:val="24"/>
          <w:szCs w:val="24"/>
        </w:rPr>
        <w:t>Pergunta Norteadora</w:t>
      </w:r>
      <w:r w:rsidRPr="008D707D">
        <w:rPr>
          <w:rFonts w:ascii="High Tower Text" w:eastAsia="Arial" w:hAnsi="High Tower Text" w:cs="Arial"/>
          <w:color w:val="000000" w:themeColor="text1"/>
          <w:sz w:val="24"/>
          <w:szCs w:val="24"/>
        </w:rPr>
        <w:t xml:space="preserve"> </w:t>
      </w:r>
    </w:p>
    <w:p w14:paraId="47473533"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A pergunta norteadora que conduziu a pesquisa foi: Como o uso abusivo de substâncias anabolizantes implica na saúde cardiovascular de adultos jovens?</w:t>
      </w:r>
    </w:p>
    <w:p w14:paraId="3CDB8407" w14:textId="2DE53E56" w:rsidR="008D707D" w:rsidRPr="008D707D" w:rsidRDefault="008D707D" w:rsidP="008D707D">
      <w:pPr>
        <w:pStyle w:val="Normal1"/>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Busca na Literatura</w:t>
      </w:r>
    </w:p>
    <w:p w14:paraId="4C64E792"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As bases consultadas incluíram a </w:t>
      </w:r>
      <w:proofErr w:type="spellStart"/>
      <w:r w:rsidRPr="008D707D">
        <w:rPr>
          <w:rFonts w:ascii="High Tower Text" w:eastAsia="Arial" w:hAnsi="High Tower Text" w:cs="Arial"/>
          <w:color w:val="000000" w:themeColor="text1"/>
          <w:sz w:val="24"/>
          <w:szCs w:val="24"/>
        </w:rPr>
        <w:t>Pubmed</w:t>
      </w:r>
      <w:proofErr w:type="spellEnd"/>
      <w:r w:rsidRPr="008D707D">
        <w:rPr>
          <w:rFonts w:ascii="High Tower Text" w:eastAsia="Arial" w:hAnsi="High Tower Text" w:cs="Arial"/>
          <w:color w:val="000000" w:themeColor="text1"/>
          <w:sz w:val="24"/>
          <w:szCs w:val="24"/>
        </w:rPr>
        <w:t xml:space="preserve"> e Biblioteca Virtual em Saúde (BVS), </w:t>
      </w:r>
      <w:proofErr w:type="gramStart"/>
      <w:r w:rsidRPr="008D707D">
        <w:rPr>
          <w:rFonts w:ascii="High Tower Text" w:eastAsia="Arial" w:hAnsi="High Tower Text" w:cs="Arial"/>
          <w:color w:val="000000" w:themeColor="text1"/>
          <w:sz w:val="24"/>
          <w:szCs w:val="24"/>
        </w:rPr>
        <w:t>a  partir</w:t>
      </w:r>
      <w:proofErr w:type="gramEnd"/>
      <w:r w:rsidRPr="008D707D">
        <w:rPr>
          <w:rFonts w:ascii="High Tower Text" w:eastAsia="Arial" w:hAnsi="High Tower Text" w:cs="Arial"/>
          <w:color w:val="000000" w:themeColor="text1"/>
          <w:sz w:val="24"/>
          <w:szCs w:val="24"/>
        </w:rPr>
        <w:t xml:space="preserve"> dos descritores “</w:t>
      </w:r>
      <w:proofErr w:type="spellStart"/>
      <w:r w:rsidRPr="008D707D">
        <w:rPr>
          <w:rFonts w:ascii="High Tower Text" w:eastAsia="Arial" w:hAnsi="High Tower Text" w:cs="Arial"/>
          <w:color w:val="000000" w:themeColor="text1"/>
          <w:sz w:val="24"/>
          <w:szCs w:val="24"/>
        </w:rPr>
        <w:t>heart</w:t>
      </w:r>
      <w:proofErr w:type="spellEnd"/>
      <w:r w:rsidRPr="008D707D">
        <w:rPr>
          <w:rFonts w:ascii="High Tower Text" w:eastAsia="Arial" w:hAnsi="High Tower Text" w:cs="Arial"/>
          <w:color w:val="000000" w:themeColor="text1"/>
          <w:sz w:val="24"/>
          <w:szCs w:val="24"/>
        </w:rPr>
        <w:t xml:space="preserve"> </w:t>
      </w:r>
      <w:proofErr w:type="spellStart"/>
      <w:r w:rsidRPr="008D707D">
        <w:rPr>
          <w:rFonts w:ascii="High Tower Text" w:eastAsia="Arial" w:hAnsi="High Tower Text" w:cs="Arial"/>
          <w:color w:val="000000" w:themeColor="text1"/>
          <w:sz w:val="24"/>
          <w:szCs w:val="24"/>
        </w:rPr>
        <w:t>diseases</w:t>
      </w:r>
      <w:proofErr w:type="spellEnd"/>
      <w:r w:rsidRPr="008D707D">
        <w:rPr>
          <w:rFonts w:ascii="High Tower Text" w:eastAsia="Arial" w:hAnsi="High Tower Text" w:cs="Arial"/>
          <w:color w:val="000000" w:themeColor="text1"/>
          <w:sz w:val="24"/>
          <w:szCs w:val="24"/>
        </w:rPr>
        <w:t>”, “</w:t>
      </w:r>
      <w:proofErr w:type="spellStart"/>
      <w:r w:rsidRPr="008D707D">
        <w:rPr>
          <w:rFonts w:ascii="High Tower Text" w:eastAsia="Arial" w:hAnsi="High Tower Text" w:cs="Arial"/>
          <w:color w:val="000000" w:themeColor="text1"/>
          <w:sz w:val="24"/>
          <w:szCs w:val="24"/>
        </w:rPr>
        <w:t>androgenic</w:t>
      </w:r>
      <w:proofErr w:type="spellEnd"/>
      <w:r w:rsidRPr="008D707D">
        <w:rPr>
          <w:rFonts w:ascii="High Tower Text" w:eastAsia="Arial" w:hAnsi="High Tower Text" w:cs="Arial"/>
          <w:color w:val="000000" w:themeColor="text1"/>
          <w:sz w:val="24"/>
          <w:szCs w:val="24"/>
        </w:rPr>
        <w:t xml:space="preserve">” e “Young </w:t>
      </w:r>
      <w:proofErr w:type="spellStart"/>
      <w:r w:rsidRPr="008D707D">
        <w:rPr>
          <w:rFonts w:ascii="High Tower Text" w:eastAsia="Arial" w:hAnsi="High Tower Text" w:cs="Arial"/>
          <w:color w:val="000000" w:themeColor="text1"/>
          <w:sz w:val="24"/>
          <w:szCs w:val="24"/>
        </w:rPr>
        <w:t>adults</w:t>
      </w:r>
      <w:proofErr w:type="spellEnd"/>
      <w:r w:rsidRPr="008D707D">
        <w:rPr>
          <w:rFonts w:ascii="High Tower Text" w:eastAsia="Arial" w:hAnsi="High Tower Text" w:cs="Arial"/>
          <w:color w:val="000000" w:themeColor="text1"/>
          <w:sz w:val="24"/>
          <w:szCs w:val="24"/>
        </w:rPr>
        <w:t>”, combinados pelo operador booleano AND.</w:t>
      </w:r>
    </w:p>
    <w:p w14:paraId="56149C83"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Foram considerados estudos publicados no período de 2016 a 2026, nos idiomas inglês, espanhol e português. A seleção das bases e dos termos de busca teve como finalidade identificar estudos científicos relacionados ao uso não terapêutico de esteroides anabolizantes androgênicos e suas possíveis repercussões sobre o sistema cardiovascular em adultos jovens. </w:t>
      </w:r>
    </w:p>
    <w:p w14:paraId="6FC52A93"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Foram excluídos estudos duplicados, textos incompletos, resumos, editoriais, cartas ao editor e publicações que não apresentassem relação direta com o objetivo da revisão. Também foram desconsiderados estudos que não apresentassem informações pertinentes às repercussões cardiovasculares associadas ao uso não terapêutico de EAA. </w:t>
      </w:r>
    </w:p>
    <w:p w14:paraId="79FF3333"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lastRenderedPageBreak/>
        <w:t xml:space="preserve">Considerou-se como população de interesse adultos jovens, definidos neste estudo como pessoas com idade entre 18 e 35 anos, conforme estabelecido no objetivo da pesquisa. Quando os estudos apresentavam populações com características etárias distintas, sua pertinência foi avaliada de acordo com a possibilidade de contribuição direta para a questão investigada. </w:t>
      </w:r>
    </w:p>
    <w:p w14:paraId="1EF718AE" w14:textId="77777777" w:rsidR="008D707D" w:rsidRPr="008D707D" w:rsidRDefault="008D707D" w:rsidP="008D707D">
      <w:pPr>
        <w:pStyle w:val="Normal1"/>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Coleta de dados</w:t>
      </w:r>
    </w:p>
    <w:p w14:paraId="612F5704"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pesquisa nos bancos de dados ocorreu nos meses de julho e agosto de 2026, nas bases previamente selecionadas. Os textos foram organizados, </w:t>
      </w:r>
      <w:proofErr w:type="gramStart"/>
      <w:r w:rsidRPr="008D707D">
        <w:rPr>
          <w:rFonts w:ascii="High Tower Text" w:eastAsia="Arial" w:hAnsi="High Tower Text" w:cs="Arial"/>
          <w:color w:val="000000" w:themeColor="text1"/>
          <w:sz w:val="24"/>
          <w:szCs w:val="24"/>
        </w:rPr>
        <w:t>tabulados  e</w:t>
      </w:r>
      <w:proofErr w:type="gramEnd"/>
      <w:r w:rsidRPr="008D707D">
        <w:rPr>
          <w:rFonts w:ascii="High Tower Text" w:eastAsia="Arial" w:hAnsi="High Tower Text" w:cs="Arial"/>
          <w:color w:val="000000" w:themeColor="text1"/>
          <w:sz w:val="24"/>
          <w:szCs w:val="24"/>
        </w:rPr>
        <w:t xml:space="preserve"> desconsiderados os que não atendiam aos critérios de elegibilidade. As pesquisas foram feitas com os descritores “</w:t>
      </w:r>
      <w:proofErr w:type="spellStart"/>
      <w:r w:rsidRPr="008D707D">
        <w:rPr>
          <w:rFonts w:ascii="High Tower Text" w:eastAsia="Arial" w:hAnsi="High Tower Text" w:cs="Arial"/>
          <w:color w:val="000000" w:themeColor="text1"/>
          <w:sz w:val="24"/>
          <w:szCs w:val="24"/>
        </w:rPr>
        <w:t>heart</w:t>
      </w:r>
      <w:proofErr w:type="spellEnd"/>
      <w:r w:rsidRPr="008D707D">
        <w:rPr>
          <w:rFonts w:ascii="High Tower Text" w:eastAsia="Arial" w:hAnsi="High Tower Text" w:cs="Arial"/>
          <w:color w:val="000000" w:themeColor="text1"/>
          <w:sz w:val="24"/>
          <w:szCs w:val="24"/>
        </w:rPr>
        <w:t xml:space="preserve"> </w:t>
      </w:r>
      <w:proofErr w:type="spellStart"/>
      <w:r w:rsidRPr="008D707D">
        <w:rPr>
          <w:rFonts w:ascii="High Tower Text" w:eastAsia="Arial" w:hAnsi="High Tower Text" w:cs="Arial"/>
          <w:color w:val="000000" w:themeColor="text1"/>
          <w:sz w:val="24"/>
          <w:szCs w:val="24"/>
        </w:rPr>
        <w:t>diseases</w:t>
      </w:r>
      <w:proofErr w:type="spellEnd"/>
      <w:r w:rsidRPr="008D707D">
        <w:rPr>
          <w:rFonts w:ascii="High Tower Text" w:eastAsia="Arial" w:hAnsi="High Tower Text" w:cs="Arial"/>
          <w:color w:val="000000" w:themeColor="text1"/>
          <w:sz w:val="24"/>
          <w:szCs w:val="24"/>
        </w:rPr>
        <w:t>”, “</w:t>
      </w:r>
      <w:proofErr w:type="spellStart"/>
      <w:r w:rsidRPr="008D707D">
        <w:rPr>
          <w:rFonts w:ascii="High Tower Text" w:eastAsia="Arial" w:hAnsi="High Tower Text" w:cs="Arial"/>
          <w:color w:val="000000" w:themeColor="text1"/>
          <w:sz w:val="24"/>
          <w:szCs w:val="24"/>
        </w:rPr>
        <w:t>androgenic</w:t>
      </w:r>
      <w:proofErr w:type="spellEnd"/>
      <w:r w:rsidRPr="008D707D">
        <w:rPr>
          <w:rFonts w:ascii="High Tower Text" w:eastAsia="Arial" w:hAnsi="High Tower Text" w:cs="Arial"/>
          <w:color w:val="000000" w:themeColor="text1"/>
          <w:sz w:val="24"/>
          <w:szCs w:val="24"/>
        </w:rPr>
        <w:t xml:space="preserve">” e “Young </w:t>
      </w:r>
      <w:proofErr w:type="spellStart"/>
      <w:r w:rsidRPr="008D707D">
        <w:rPr>
          <w:rFonts w:ascii="High Tower Text" w:eastAsia="Arial" w:hAnsi="High Tower Text" w:cs="Arial"/>
          <w:color w:val="000000" w:themeColor="text1"/>
          <w:sz w:val="24"/>
          <w:szCs w:val="24"/>
        </w:rPr>
        <w:t>adults</w:t>
      </w:r>
      <w:proofErr w:type="spellEnd"/>
      <w:r w:rsidRPr="008D707D">
        <w:rPr>
          <w:rFonts w:ascii="High Tower Text" w:eastAsia="Arial" w:hAnsi="High Tower Text" w:cs="Arial"/>
          <w:color w:val="000000" w:themeColor="text1"/>
          <w:sz w:val="24"/>
          <w:szCs w:val="24"/>
        </w:rPr>
        <w:t xml:space="preserve">”. Ao realizar a pesquisa na Biblioteca Virtual de Saúde (BVS), encontramos 79 documentos, datados entre 1984 </w:t>
      </w:r>
      <w:proofErr w:type="gramStart"/>
      <w:r w:rsidRPr="008D707D">
        <w:rPr>
          <w:rFonts w:ascii="High Tower Text" w:eastAsia="Arial" w:hAnsi="High Tower Text" w:cs="Arial"/>
          <w:color w:val="000000" w:themeColor="text1"/>
          <w:sz w:val="24"/>
          <w:szCs w:val="24"/>
        </w:rPr>
        <w:t>a</w:t>
      </w:r>
      <w:proofErr w:type="gramEnd"/>
      <w:r w:rsidRPr="008D707D">
        <w:rPr>
          <w:rFonts w:ascii="High Tower Text" w:eastAsia="Arial" w:hAnsi="High Tower Text" w:cs="Arial"/>
          <w:color w:val="000000" w:themeColor="text1"/>
          <w:sz w:val="24"/>
          <w:szCs w:val="24"/>
        </w:rPr>
        <w:t xml:space="preserve"> 2026, entretanto ao aplicar os critérios de elegibilidade, restaram 1 artigos elegíveis</w:t>
      </w:r>
    </w:p>
    <w:p w14:paraId="702A3181"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Já na </w:t>
      </w:r>
      <w:proofErr w:type="spellStart"/>
      <w:r w:rsidRPr="008D707D">
        <w:rPr>
          <w:rFonts w:ascii="High Tower Text" w:eastAsia="Arial" w:hAnsi="High Tower Text" w:cs="Arial"/>
          <w:color w:val="000000" w:themeColor="text1"/>
          <w:sz w:val="24"/>
          <w:szCs w:val="24"/>
        </w:rPr>
        <w:t>Pubmed</w:t>
      </w:r>
      <w:proofErr w:type="spellEnd"/>
      <w:r w:rsidRPr="008D707D">
        <w:rPr>
          <w:rFonts w:ascii="High Tower Text" w:eastAsia="Arial" w:hAnsi="High Tower Text" w:cs="Arial"/>
          <w:color w:val="000000" w:themeColor="text1"/>
          <w:sz w:val="24"/>
          <w:szCs w:val="24"/>
        </w:rPr>
        <w:t>, a pesquisa retornou com 218 textos, datados de 1975 a 2026. Ao aplicar os critérios de exclusão, restaram 2.  Segue quadro 1 organizando os dados das bases consultadas</w:t>
      </w:r>
    </w:p>
    <w:p w14:paraId="1DBA2823" w14:textId="194E60D7" w:rsidR="008D707D" w:rsidRPr="008D707D" w:rsidRDefault="008D707D" w:rsidP="008D707D">
      <w:pPr>
        <w:pStyle w:val="Normal1"/>
        <w:spacing w:before="120" w:after="120" w:line="360" w:lineRule="auto"/>
        <w:ind w:firstLine="0"/>
        <w:rPr>
          <w:rFonts w:ascii="High Tower Text" w:eastAsia="Arial" w:hAnsi="High Tower Text" w:cs="Arial"/>
          <w:b/>
          <w:bCs/>
          <w:color w:val="000000" w:themeColor="text1"/>
          <w:sz w:val="20"/>
          <w:szCs w:val="20"/>
        </w:rPr>
      </w:pPr>
      <w:r w:rsidRPr="008D707D">
        <w:rPr>
          <w:rFonts w:ascii="High Tower Text" w:eastAsia="Arial" w:hAnsi="High Tower Text" w:cs="Arial"/>
          <w:b/>
          <w:bCs/>
          <w:color w:val="000000" w:themeColor="text1"/>
          <w:sz w:val="20"/>
          <w:szCs w:val="20"/>
        </w:rPr>
        <w:t xml:space="preserve">Quadro 1 - </w:t>
      </w:r>
      <w:r w:rsidRPr="008D707D">
        <w:rPr>
          <w:rFonts w:ascii="High Tower Text" w:eastAsia="Arial" w:hAnsi="High Tower Text" w:cs="Arial"/>
          <w:color w:val="000000" w:themeColor="text1"/>
          <w:sz w:val="20"/>
          <w:szCs w:val="20"/>
        </w:rPr>
        <w:t xml:space="preserve">Resultados de pesquisas realizadas na Biblioteca Virtual de Saúde (BVS) e </w:t>
      </w:r>
      <w:proofErr w:type="spellStart"/>
      <w:r w:rsidRPr="008D707D">
        <w:rPr>
          <w:rFonts w:ascii="High Tower Text" w:eastAsia="Arial" w:hAnsi="High Tower Text" w:cs="Arial"/>
          <w:color w:val="000000" w:themeColor="text1"/>
          <w:sz w:val="20"/>
          <w:szCs w:val="20"/>
        </w:rPr>
        <w:t>PubMed</w:t>
      </w:r>
      <w:proofErr w:type="spellEnd"/>
    </w:p>
    <w:tbl>
      <w:tblPr>
        <w:tblW w:w="8563" w:type="dxa"/>
        <w:tblLayout w:type="fixed"/>
        <w:tblLook w:val="0000" w:firstRow="0" w:lastRow="0" w:firstColumn="0" w:lastColumn="0" w:noHBand="0" w:noVBand="0"/>
      </w:tblPr>
      <w:tblGrid>
        <w:gridCol w:w="2748"/>
        <w:gridCol w:w="2668"/>
        <w:gridCol w:w="3147"/>
      </w:tblGrid>
      <w:tr w:rsidR="008D707D" w:rsidRPr="008D707D" w14:paraId="749B2629" w14:textId="77777777" w:rsidTr="008D707D">
        <w:trPr>
          <w:cantSplit/>
          <w:trHeight w:val="386"/>
          <w:tblHeader/>
        </w:trPr>
        <w:tc>
          <w:tcPr>
            <w:tcW w:w="2748" w:type="dxa"/>
            <w:tcBorders>
              <w:top w:val="single" w:sz="4" w:space="0" w:color="000000"/>
              <w:bottom w:val="single" w:sz="4" w:space="0" w:color="000000"/>
            </w:tcBorders>
            <w:vAlign w:val="center"/>
          </w:tcPr>
          <w:p w14:paraId="09A28D60" w14:textId="77777777" w:rsidR="008D707D" w:rsidRPr="008D707D" w:rsidRDefault="008D707D" w:rsidP="005F6EEB">
            <w:pPr>
              <w:pStyle w:val="Normal1"/>
              <w:spacing w:after="0" w:line="240" w:lineRule="auto"/>
              <w:ind w:hanging="2"/>
              <w:rPr>
                <w:rFonts w:ascii="High Tower Text" w:eastAsia="Arial" w:hAnsi="High Tower Text" w:cs="Arial"/>
                <w:b/>
                <w:bCs/>
                <w:color w:val="000000" w:themeColor="text1"/>
                <w:sz w:val="20"/>
                <w:szCs w:val="20"/>
              </w:rPr>
            </w:pPr>
            <w:r w:rsidRPr="008D707D">
              <w:rPr>
                <w:rFonts w:ascii="High Tower Text" w:eastAsia="Arial" w:hAnsi="High Tower Text" w:cs="Arial"/>
                <w:b/>
                <w:bCs/>
                <w:color w:val="000000" w:themeColor="text1"/>
                <w:sz w:val="20"/>
                <w:szCs w:val="20"/>
              </w:rPr>
              <w:t>Etapa</w:t>
            </w:r>
          </w:p>
        </w:tc>
        <w:tc>
          <w:tcPr>
            <w:tcW w:w="2668" w:type="dxa"/>
            <w:tcBorders>
              <w:top w:val="single" w:sz="4" w:space="0" w:color="000000"/>
              <w:bottom w:val="single" w:sz="4" w:space="0" w:color="000000"/>
            </w:tcBorders>
            <w:vAlign w:val="center"/>
          </w:tcPr>
          <w:p w14:paraId="3C165A5E" w14:textId="77777777" w:rsidR="008D707D" w:rsidRPr="008D707D" w:rsidRDefault="008D707D" w:rsidP="005F6EEB">
            <w:pPr>
              <w:pStyle w:val="Normal1"/>
              <w:spacing w:after="0" w:line="240" w:lineRule="auto"/>
              <w:ind w:hanging="2"/>
              <w:jc w:val="center"/>
              <w:rPr>
                <w:rFonts w:ascii="High Tower Text" w:eastAsia="Arial" w:hAnsi="High Tower Text" w:cs="Arial"/>
                <w:b/>
                <w:bCs/>
                <w:color w:val="000000" w:themeColor="text1"/>
                <w:sz w:val="20"/>
                <w:szCs w:val="20"/>
              </w:rPr>
            </w:pPr>
            <w:r w:rsidRPr="008D707D">
              <w:rPr>
                <w:rFonts w:ascii="High Tower Text" w:eastAsia="Arial" w:hAnsi="High Tower Text" w:cs="Arial"/>
                <w:b/>
                <w:bCs/>
                <w:color w:val="000000" w:themeColor="text1"/>
                <w:sz w:val="20"/>
                <w:szCs w:val="20"/>
              </w:rPr>
              <w:t xml:space="preserve">Biblioteca Virtual de Saúde (BVS) </w:t>
            </w:r>
          </w:p>
        </w:tc>
        <w:tc>
          <w:tcPr>
            <w:tcW w:w="3147" w:type="dxa"/>
            <w:tcBorders>
              <w:top w:val="single" w:sz="4" w:space="0" w:color="000000"/>
              <w:bottom w:val="single" w:sz="4" w:space="0" w:color="000000"/>
            </w:tcBorders>
            <w:vAlign w:val="center"/>
          </w:tcPr>
          <w:p w14:paraId="40958E5B" w14:textId="77777777" w:rsidR="008D707D" w:rsidRPr="008D707D" w:rsidRDefault="008D707D" w:rsidP="005F6EEB">
            <w:pPr>
              <w:pStyle w:val="Normal1"/>
              <w:spacing w:after="0" w:line="240" w:lineRule="auto"/>
              <w:ind w:hanging="2"/>
              <w:jc w:val="center"/>
              <w:rPr>
                <w:rFonts w:ascii="High Tower Text" w:eastAsia="Arial" w:hAnsi="High Tower Text" w:cs="Arial"/>
                <w:b/>
                <w:bCs/>
                <w:color w:val="000000" w:themeColor="text1"/>
                <w:sz w:val="20"/>
                <w:szCs w:val="20"/>
              </w:rPr>
            </w:pPr>
            <w:proofErr w:type="spellStart"/>
            <w:r w:rsidRPr="008D707D">
              <w:rPr>
                <w:rFonts w:ascii="High Tower Text" w:eastAsia="Arial" w:hAnsi="High Tower Text" w:cs="Arial"/>
                <w:b/>
                <w:bCs/>
                <w:color w:val="000000" w:themeColor="text1"/>
                <w:sz w:val="20"/>
                <w:szCs w:val="20"/>
              </w:rPr>
              <w:t>PubMed</w:t>
            </w:r>
            <w:proofErr w:type="spellEnd"/>
            <w:r w:rsidRPr="008D707D">
              <w:rPr>
                <w:rFonts w:ascii="High Tower Text" w:eastAsia="Arial" w:hAnsi="High Tower Text" w:cs="Arial"/>
                <w:b/>
                <w:bCs/>
                <w:color w:val="000000" w:themeColor="text1"/>
                <w:sz w:val="20"/>
                <w:szCs w:val="20"/>
              </w:rPr>
              <w:t xml:space="preserve"> </w:t>
            </w:r>
          </w:p>
          <w:p w14:paraId="44831A77" w14:textId="77777777" w:rsidR="008D707D" w:rsidRPr="008D707D" w:rsidRDefault="008D707D" w:rsidP="005F6EEB">
            <w:pPr>
              <w:pStyle w:val="Normal1"/>
              <w:spacing w:after="0" w:line="240" w:lineRule="auto"/>
              <w:ind w:hanging="2"/>
              <w:jc w:val="center"/>
              <w:rPr>
                <w:rFonts w:ascii="High Tower Text" w:eastAsia="Arial" w:hAnsi="High Tower Text" w:cs="Arial"/>
                <w:b/>
                <w:bCs/>
                <w:color w:val="000000" w:themeColor="text1"/>
                <w:sz w:val="20"/>
                <w:szCs w:val="20"/>
              </w:rPr>
            </w:pPr>
          </w:p>
        </w:tc>
      </w:tr>
      <w:tr w:rsidR="008D707D" w:rsidRPr="008D707D" w14:paraId="79879A9A" w14:textId="77777777" w:rsidTr="008D707D">
        <w:trPr>
          <w:cantSplit/>
          <w:trHeight w:val="363"/>
          <w:tblHeader/>
        </w:trPr>
        <w:tc>
          <w:tcPr>
            <w:tcW w:w="2748" w:type="dxa"/>
            <w:tcBorders>
              <w:top w:val="nil"/>
              <w:left w:val="nil"/>
              <w:bottom w:val="nil"/>
              <w:right w:val="nil"/>
            </w:tcBorders>
            <w:tcMar>
              <w:top w:w="20" w:type="dxa"/>
              <w:left w:w="20" w:type="dxa"/>
              <w:bottom w:w="20" w:type="dxa"/>
              <w:right w:w="20" w:type="dxa"/>
            </w:tcMar>
          </w:tcPr>
          <w:p w14:paraId="7F13F86A"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Descritores utilizados</w:t>
            </w:r>
          </w:p>
        </w:tc>
        <w:tc>
          <w:tcPr>
            <w:tcW w:w="2668" w:type="dxa"/>
            <w:tcBorders>
              <w:top w:val="nil"/>
              <w:left w:val="nil"/>
              <w:bottom w:val="nil"/>
              <w:right w:val="nil"/>
            </w:tcBorders>
            <w:tcMar>
              <w:top w:w="20" w:type="dxa"/>
              <w:left w:w="20" w:type="dxa"/>
              <w:bottom w:w="20" w:type="dxa"/>
              <w:right w:w="20" w:type="dxa"/>
            </w:tcMar>
          </w:tcPr>
          <w:p w14:paraId="3C2DEEB9"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w:t>
            </w:r>
            <w:proofErr w:type="gramStart"/>
            <w:r w:rsidRPr="008D707D">
              <w:rPr>
                <w:rFonts w:ascii="High Tower Text" w:eastAsia="Arial" w:hAnsi="High Tower Text" w:cs="Arial"/>
                <w:color w:val="000000" w:themeColor="text1"/>
                <w:sz w:val="20"/>
                <w:szCs w:val="20"/>
                <w:lang w:val="en-US"/>
              </w:rPr>
              <w:t>heart</w:t>
            </w:r>
            <w:proofErr w:type="gramEnd"/>
            <w:r w:rsidRPr="008D707D">
              <w:rPr>
                <w:rFonts w:ascii="High Tower Text" w:eastAsia="Arial" w:hAnsi="High Tower Text" w:cs="Arial"/>
                <w:color w:val="000000" w:themeColor="text1"/>
                <w:sz w:val="20"/>
                <w:szCs w:val="20"/>
                <w:lang w:val="en-US"/>
              </w:rPr>
              <w:t xml:space="preserve"> diseases” AND “androgenic” AND “Young adults”</w:t>
            </w:r>
          </w:p>
          <w:p w14:paraId="492BFE8E"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lang w:val="en-US"/>
              </w:rPr>
            </w:pPr>
          </w:p>
        </w:tc>
        <w:tc>
          <w:tcPr>
            <w:tcW w:w="3147" w:type="dxa"/>
            <w:tcBorders>
              <w:top w:val="nil"/>
              <w:left w:val="nil"/>
              <w:bottom w:val="nil"/>
              <w:right w:val="nil"/>
            </w:tcBorders>
            <w:tcMar>
              <w:top w:w="20" w:type="dxa"/>
              <w:left w:w="20" w:type="dxa"/>
              <w:bottom w:w="20" w:type="dxa"/>
              <w:right w:w="20" w:type="dxa"/>
            </w:tcMar>
          </w:tcPr>
          <w:p w14:paraId="37D17523"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w:t>
            </w:r>
            <w:proofErr w:type="gramStart"/>
            <w:r w:rsidRPr="008D707D">
              <w:rPr>
                <w:rFonts w:ascii="High Tower Text" w:eastAsia="Arial" w:hAnsi="High Tower Text" w:cs="Arial"/>
                <w:color w:val="000000" w:themeColor="text1"/>
                <w:sz w:val="20"/>
                <w:szCs w:val="20"/>
                <w:lang w:val="en-US"/>
              </w:rPr>
              <w:t>heart</w:t>
            </w:r>
            <w:proofErr w:type="gramEnd"/>
            <w:r w:rsidRPr="008D707D">
              <w:rPr>
                <w:rFonts w:ascii="High Tower Text" w:eastAsia="Arial" w:hAnsi="High Tower Text" w:cs="Arial"/>
                <w:color w:val="000000" w:themeColor="text1"/>
                <w:sz w:val="20"/>
                <w:szCs w:val="20"/>
                <w:lang w:val="en-US"/>
              </w:rPr>
              <w:t xml:space="preserve"> diseases” AND “androgenic” AND “Young adults”</w:t>
            </w:r>
          </w:p>
        </w:tc>
      </w:tr>
      <w:tr w:rsidR="008D707D" w:rsidRPr="008D707D" w14:paraId="0C5C94CC" w14:textId="77777777" w:rsidTr="008D707D">
        <w:trPr>
          <w:cantSplit/>
          <w:trHeight w:val="386"/>
          <w:tblHeader/>
        </w:trPr>
        <w:tc>
          <w:tcPr>
            <w:tcW w:w="2748" w:type="dxa"/>
            <w:tcBorders>
              <w:top w:val="nil"/>
              <w:left w:val="nil"/>
              <w:bottom w:val="nil"/>
              <w:right w:val="nil"/>
            </w:tcBorders>
            <w:tcMar>
              <w:top w:w="20" w:type="dxa"/>
              <w:left w:w="20" w:type="dxa"/>
              <w:bottom w:w="20" w:type="dxa"/>
              <w:right w:w="20" w:type="dxa"/>
            </w:tcMar>
          </w:tcPr>
          <w:p w14:paraId="6242EC72"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Descritores utilizados</w:t>
            </w:r>
          </w:p>
        </w:tc>
        <w:tc>
          <w:tcPr>
            <w:tcW w:w="2668" w:type="dxa"/>
            <w:tcBorders>
              <w:top w:val="nil"/>
              <w:left w:val="nil"/>
              <w:bottom w:val="nil"/>
              <w:right w:val="nil"/>
            </w:tcBorders>
            <w:tcMar>
              <w:top w:w="20" w:type="dxa"/>
              <w:left w:w="20" w:type="dxa"/>
              <w:bottom w:w="20" w:type="dxa"/>
              <w:right w:w="20" w:type="dxa"/>
            </w:tcMar>
          </w:tcPr>
          <w:p w14:paraId="3C75BDD6"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w:t>
            </w:r>
            <w:proofErr w:type="gramStart"/>
            <w:r w:rsidRPr="008D707D">
              <w:rPr>
                <w:rFonts w:ascii="High Tower Text" w:eastAsia="Arial" w:hAnsi="High Tower Text" w:cs="Arial"/>
                <w:color w:val="000000" w:themeColor="text1"/>
                <w:sz w:val="20"/>
                <w:szCs w:val="20"/>
                <w:lang w:val="en-US"/>
              </w:rPr>
              <w:t>heart</w:t>
            </w:r>
            <w:proofErr w:type="gramEnd"/>
            <w:r w:rsidRPr="008D707D">
              <w:rPr>
                <w:rFonts w:ascii="High Tower Text" w:eastAsia="Arial" w:hAnsi="High Tower Text" w:cs="Arial"/>
                <w:color w:val="000000" w:themeColor="text1"/>
                <w:sz w:val="20"/>
                <w:szCs w:val="20"/>
                <w:lang w:val="en-US"/>
              </w:rPr>
              <w:t xml:space="preserve"> diseases” AND “androgenic” AND “Young adults”</w:t>
            </w:r>
          </w:p>
        </w:tc>
        <w:tc>
          <w:tcPr>
            <w:tcW w:w="3147" w:type="dxa"/>
            <w:tcBorders>
              <w:top w:val="nil"/>
              <w:left w:val="nil"/>
              <w:bottom w:val="nil"/>
              <w:right w:val="nil"/>
            </w:tcBorders>
            <w:tcMar>
              <w:top w:w="20" w:type="dxa"/>
              <w:left w:w="20" w:type="dxa"/>
              <w:bottom w:w="20" w:type="dxa"/>
              <w:right w:w="20" w:type="dxa"/>
            </w:tcMar>
          </w:tcPr>
          <w:p w14:paraId="0C008E37"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w:t>
            </w:r>
            <w:proofErr w:type="gramStart"/>
            <w:r w:rsidRPr="008D707D">
              <w:rPr>
                <w:rFonts w:ascii="High Tower Text" w:eastAsia="Arial" w:hAnsi="High Tower Text" w:cs="Arial"/>
                <w:color w:val="000000" w:themeColor="text1"/>
                <w:sz w:val="20"/>
                <w:szCs w:val="20"/>
                <w:lang w:val="en-US"/>
              </w:rPr>
              <w:t>heart</w:t>
            </w:r>
            <w:proofErr w:type="gramEnd"/>
            <w:r w:rsidRPr="008D707D">
              <w:rPr>
                <w:rFonts w:ascii="High Tower Text" w:eastAsia="Arial" w:hAnsi="High Tower Text" w:cs="Arial"/>
                <w:color w:val="000000" w:themeColor="text1"/>
                <w:sz w:val="20"/>
                <w:szCs w:val="20"/>
                <w:lang w:val="en-US"/>
              </w:rPr>
              <w:t xml:space="preserve"> diseases” AND “androgenic” AND “Young adults”</w:t>
            </w:r>
          </w:p>
        </w:tc>
      </w:tr>
      <w:tr w:rsidR="008D707D" w:rsidRPr="008D707D" w14:paraId="601FCDAA" w14:textId="77777777" w:rsidTr="008D707D">
        <w:trPr>
          <w:cantSplit/>
          <w:trHeight w:val="386"/>
          <w:tblHeader/>
        </w:trPr>
        <w:tc>
          <w:tcPr>
            <w:tcW w:w="2748" w:type="dxa"/>
            <w:tcBorders>
              <w:top w:val="nil"/>
              <w:left w:val="nil"/>
              <w:bottom w:val="nil"/>
              <w:right w:val="nil"/>
            </w:tcBorders>
            <w:tcMar>
              <w:top w:w="20" w:type="dxa"/>
              <w:left w:w="20" w:type="dxa"/>
              <w:bottom w:w="20" w:type="dxa"/>
              <w:right w:w="20" w:type="dxa"/>
            </w:tcMar>
          </w:tcPr>
          <w:p w14:paraId="56C50E28"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encontrados</w:t>
            </w:r>
          </w:p>
        </w:tc>
        <w:tc>
          <w:tcPr>
            <w:tcW w:w="2668" w:type="dxa"/>
            <w:tcBorders>
              <w:top w:val="nil"/>
              <w:left w:val="nil"/>
              <w:bottom w:val="nil"/>
              <w:right w:val="nil"/>
            </w:tcBorders>
            <w:tcMar>
              <w:top w:w="20" w:type="dxa"/>
              <w:left w:w="20" w:type="dxa"/>
              <w:bottom w:w="20" w:type="dxa"/>
              <w:right w:w="20" w:type="dxa"/>
            </w:tcMar>
          </w:tcPr>
          <w:p w14:paraId="60BCE946"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79 documentos (198-2026)</w:t>
            </w:r>
          </w:p>
        </w:tc>
        <w:tc>
          <w:tcPr>
            <w:tcW w:w="3147" w:type="dxa"/>
            <w:tcBorders>
              <w:top w:val="nil"/>
              <w:left w:val="nil"/>
              <w:bottom w:val="nil"/>
              <w:right w:val="nil"/>
            </w:tcBorders>
            <w:tcMar>
              <w:top w:w="20" w:type="dxa"/>
              <w:left w:w="20" w:type="dxa"/>
              <w:bottom w:w="20" w:type="dxa"/>
              <w:right w:w="20" w:type="dxa"/>
            </w:tcMar>
          </w:tcPr>
          <w:p w14:paraId="4A4E0CFA"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218 textos (1975-2026)</w:t>
            </w:r>
          </w:p>
          <w:p w14:paraId="2F54B7E6"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p>
        </w:tc>
      </w:tr>
      <w:tr w:rsidR="008D707D" w:rsidRPr="008D707D" w14:paraId="3DD9D0BC" w14:textId="77777777" w:rsidTr="008D707D">
        <w:trPr>
          <w:cantSplit/>
          <w:trHeight w:val="363"/>
          <w:tblHeader/>
        </w:trPr>
        <w:tc>
          <w:tcPr>
            <w:tcW w:w="2748" w:type="dxa"/>
            <w:tcBorders>
              <w:top w:val="nil"/>
              <w:left w:val="nil"/>
              <w:bottom w:val="nil"/>
              <w:right w:val="nil"/>
            </w:tcBorders>
            <w:tcMar>
              <w:top w:w="20" w:type="dxa"/>
              <w:left w:w="20" w:type="dxa"/>
              <w:bottom w:w="20" w:type="dxa"/>
              <w:right w:w="20" w:type="dxa"/>
            </w:tcMar>
          </w:tcPr>
          <w:p w14:paraId="3F21EE2A"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excluídos/não elegíveis</w:t>
            </w:r>
          </w:p>
          <w:p w14:paraId="13BAA152"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p>
        </w:tc>
        <w:tc>
          <w:tcPr>
            <w:tcW w:w="2668" w:type="dxa"/>
            <w:tcBorders>
              <w:top w:val="nil"/>
              <w:left w:val="nil"/>
              <w:bottom w:val="nil"/>
              <w:right w:val="nil"/>
            </w:tcBorders>
            <w:tcMar>
              <w:top w:w="20" w:type="dxa"/>
              <w:left w:w="20" w:type="dxa"/>
              <w:bottom w:w="20" w:type="dxa"/>
              <w:right w:w="20" w:type="dxa"/>
            </w:tcMar>
          </w:tcPr>
          <w:p w14:paraId="79CB7504"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78</w:t>
            </w:r>
          </w:p>
        </w:tc>
        <w:tc>
          <w:tcPr>
            <w:tcW w:w="3147" w:type="dxa"/>
            <w:tcBorders>
              <w:top w:val="nil"/>
              <w:left w:val="nil"/>
              <w:bottom w:val="nil"/>
              <w:right w:val="nil"/>
            </w:tcBorders>
            <w:tcMar>
              <w:top w:w="20" w:type="dxa"/>
              <w:left w:w="20" w:type="dxa"/>
              <w:bottom w:w="20" w:type="dxa"/>
              <w:right w:w="20" w:type="dxa"/>
            </w:tcMar>
          </w:tcPr>
          <w:p w14:paraId="0D551D6E"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216</w:t>
            </w:r>
          </w:p>
          <w:p w14:paraId="1556CBEC"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p>
        </w:tc>
      </w:tr>
      <w:tr w:rsidR="008D707D" w:rsidRPr="008D707D" w14:paraId="4A69337E" w14:textId="77777777" w:rsidTr="008D707D">
        <w:trPr>
          <w:cantSplit/>
          <w:trHeight w:val="363"/>
          <w:tblHeader/>
        </w:trPr>
        <w:tc>
          <w:tcPr>
            <w:tcW w:w="2748" w:type="dxa"/>
            <w:tcBorders>
              <w:top w:val="nil"/>
              <w:left w:val="nil"/>
              <w:bottom w:val="nil"/>
              <w:right w:val="nil"/>
            </w:tcBorders>
            <w:tcMar>
              <w:top w:w="20" w:type="dxa"/>
              <w:left w:w="20" w:type="dxa"/>
              <w:bottom w:w="20" w:type="dxa"/>
              <w:right w:w="20" w:type="dxa"/>
            </w:tcMar>
          </w:tcPr>
          <w:p w14:paraId="68299862"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Estudos elegíveis</w:t>
            </w:r>
          </w:p>
        </w:tc>
        <w:tc>
          <w:tcPr>
            <w:tcW w:w="2668" w:type="dxa"/>
            <w:tcBorders>
              <w:top w:val="nil"/>
              <w:left w:val="nil"/>
              <w:bottom w:val="nil"/>
              <w:right w:val="nil"/>
            </w:tcBorders>
            <w:tcMar>
              <w:top w:w="20" w:type="dxa"/>
              <w:left w:w="20" w:type="dxa"/>
              <w:bottom w:w="20" w:type="dxa"/>
              <w:right w:w="20" w:type="dxa"/>
            </w:tcMar>
          </w:tcPr>
          <w:p w14:paraId="1EC7CA82"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1 artigo</w:t>
            </w:r>
          </w:p>
        </w:tc>
        <w:tc>
          <w:tcPr>
            <w:tcW w:w="3147" w:type="dxa"/>
            <w:tcBorders>
              <w:top w:val="nil"/>
              <w:left w:val="nil"/>
              <w:bottom w:val="nil"/>
              <w:right w:val="nil"/>
            </w:tcBorders>
            <w:tcMar>
              <w:top w:w="20" w:type="dxa"/>
              <w:left w:w="20" w:type="dxa"/>
              <w:bottom w:w="20" w:type="dxa"/>
              <w:right w:w="20" w:type="dxa"/>
            </w:tcMar>
          </w:tcPr>
          <w:p w14:paraId="71B0AE12"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 artigos</w:t>
            </w:r>
          </w:p>
          <w:p w14:paraId="2212E85E"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p>
        </w:tc>
      </w:tr>
      <w:tr w:rsidR="008D707D" w:rsidRPr="008D707D" w14:paraId="5E2F551B" w14:textId="77777777" w:rsidTr="008D707D">
        <w:trPr>
          <w:cantSplit/>
          <w:trHeight w:val="363"/>
          <w:tblHeader/>
        </w:trPr>
        <w:tc>
          <w:tcPr>
            <w:tcW w:w="2748" w:type="dxa"/>
            <w:tcBorders>
              <w:top w:val="nil"/>
              <w:left w:val="nil"/>
              <w:bottom w:val="nil"/>
              <w:right w:val="nil"/>
            </w:tcBorders>
            <w:tcMar>
              <w:top w:w="20" w:type="dxa"/>
              <w:left w:w="20" w:type="dxa"/>
              <w:bottom w:w="20" w:type="dxa"/>
              <w:right w:w="20" w:type="dxa"/>
            </w:tcMar>
          </w:tcPr>
          <w:p w14:paraId="40E93E58" w14:textId="77777777" w:rsidR="008D707D" w:rsidRPr="008D707D" w:rsidRDefault="008D707D" w:rsidP="005F6EEB">
            <w:pPr>
              <w:pStyle w:val="Normal1"/>
              <w:spacing w:after="0" w:line="240" w:lineRule="auto"/>
              <w:ind w:hanging="2"/>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Total de estudos incluídos</w:t>
            </w:r>
          </w:p>
        </w:tc>
        <w:tc>
          <w:tcPr>
            <w:tcW w:w="2668" w:type="dxa"/>
            <w:tcBorders>
              <w:top w:val="nil"/>
              <w:left w:val="nil"/>
              <w:bottom w:val="nil"/>
              <w:right w:val="nil"/>
            </w:tcBorders>
            <w:tcMar>
              <w:top w:w="20" w:type="dxa"/>
              <w:left w:w="20" w:type="dxa"/>
              <w:bottom w:w="20" w:type="dxa"/>
              <w:right w:w="20" w:type="dxa"/>
            </w:tcMar>
          </w:tcPr>
          <w:p w14:paraId="4F097A14"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1</w:t>
            </w:r>
          </w:p>
        </w:tc>
        <w:tc>
          <w:tcPr>
            <w:tcW w:w="3147" w:type="dxa"/>
            <w:tcBorders>
              <w:top w:val="nil"/>
              <w:left w:val="nil"/>
              <w:bottom w:val="nil"/>
              <w:right w:val="nil"/>
            </w:tcBorders>
            <w:tcMar>
              <w:top w:w="20" w:type="dxa"/>
              <w:left w:w="20" w:type="dxa"/>
              <w:bottom w:w="20" w:type="dxa"/>
              <w:right w:w="20" w:type="dxa"/>
            </w:tcMar>
          </w:tcPr>
          <w:p w14:paraId="399D2F60"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w:t>
            </w:r>
          </w:p>
        </w:tc>
      </w:tr>
      <w:tr w:rsidR="008D707D" w:rsidRPr="008D707D" w14:paraId="65A396AA" w14:textId="77777777" w:rsidTr="008D707D">
        <w:trPr>
          <w:cantSplit/>
          <w:trHeight w:val="409"/>
          <w:tblHeader/>
        </w:trPr>
        <w:tc>
          <w:tcPr>
            <w:tcW w:w="2748" w:type="dxa"/>
            <w:tcBorders>
              <w:top w:val="single" w:sz="4" w:space="0" w:color="000000"/>
              <w:bottom w:val="single" w:sz="4" w:space="0" w:color="000000"/>
            </w:tcBorders>
            <w:vAlign w:val="center"/>
          </w:tcPr>
          <w:p w14:paraId="58E0E7D7"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rPr>
              <w:t>Total</w:t>
            </w:r>
          </w:p>
        </w:tc>
        <w:tc>
          <w:tcPr>
            <w:tcW w:w="2668" w:type="dxa"/>
            <w:tcBorders>
              <w:top w:val="single" w:sz="4" w:space="0" w:color="000000"/>
              <w:bottom w:val="single" w:sz="4" w:space="0" w:color="000000"/>
            </w:tcBorders>
            <w:vAlign w:val="center"/>
          </w:tcPr>
          <w:p w14:paraId="472B06AF"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3 artigos elegíveis</w:t>
            </w:r>
          </w:p>
        </w:tc>
        <w:tc>
          <w:tcPr>
            <w:tcW w:w="3147" w:type="dxa"/>
            <w:tcBorders>
              <w:top w:val="single" w:sz="4" w:space="0" w:color="000000"/>
              <w:bottom w:val="single" w:sz="4" w:space="0" w:color="000000"/>
            </w:tcBorders>
            <w:vAlign w:val="center"/>
          </w:tcPr>
          <w:p w14:paraId="58AC50C6"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rPr>
              <w:t>-</w:t>
            </w:r>
          </w:p>
        </w:tc>
      </w:tr>
    </w:tbl>
    <w:p w14:paraId="0F2F6C79" w14:textId="77777777" w:rsidR="008D707D" w:rsidRDefault="008D707D" w:rsidP="008D707D">
      <w:pPr>
        <w:pStyle w:val="Normal1"/>
        <w:spacing w:after="120"/>
        <w:ind w:left="-2" w:firstLine="0"/>
        <w:rPr>
          <w:rFonts w:ascii="High Tower Text" w:eastAsia="Arial" w:hAnsi="High Tower Text" w:cs="Arial"/>
          <w:b/>
          <w:bCs/>
          <w:color w:val="000000" w:themeColor="text1"/>
          <w:sz w:val="20"/>
          <w:szCs w:val="20"/>
        </w:rPr>
      </w:pPr>
    </w:p>
    <w:p w14:paraId="4FD7F6B0" w14:textId="3A635137" w:rsidR="008D707D" w:rsidRPr="008D707D" w:rsidRDefault="008D707D" w:rsidP="008D707D">
      <w:pPr>
        <w:pStyle w:val="Normal1"/>
        <w:spacing w:after="120"/>
        <w:ind w:left="-2" w:firstLine="0"/>
        <w:rPr>
          <w:rFonts w:ascii="High Tower Text" w:eastAsia="Arial" w:hAnsi="High Tower Text" w:cs="Arial"/>
          <w:color w:val="000000" w:themeColor="text1"/>
          <w:sz w:val="20"/>
          <w:szCs w:val="20"/>
        </w:rPr>
      </w:pPr>
      <w:proofErr w:type="spellStart"/>
      <w:r w:rsidRPr="008D707D">
        <w:rPr>
          <w:rFonts w:ascii="High Tower Text" w:eastAsia="Arial" w:hAnsi="High Tower Text" w:cs="Arial"/>
          <w:b/>
          <w:bCs/>
          <w:color w:val="000000" w:themeColor="text1"/>
          <w:sz w:val="20"/>
          <w:szCs w:val="20"/>
        </w:rPr>
        <w:t>Fonte:</w:t>
      </w:r>
      <w:r w:rsidRPr="008D707D">
        <w:rPr>
          <w:rFonts w:ascii="High Tower Text" w:eastAsia="Arial" w:hAnsi="High Tower Text" w:cs="Arial"/>
          <w:color w:val="000000" w:themeColor="text1"/>
          <w:sz w:val="20"/>
          <w:szCs w:val="20"/>
        </w:rPr>
        <w:t>Elaborado</w:t>
      </w:r>
      <w:proofErr w:type="spellEnd"/>
      <w:r w:rsidRPr="008D707D">
        <w:rPr>
          <w:rFonts w:ascii="High Tower Text" w:eastAsia="Arial" w:hAnsi="High Tower Text" w:cs="Arial"/>
          <w:color w:val="000000" w:themeColor="text1"/>
          <w:sz w:val="20"/>
          <w:szCs w:val="20"/>
        </w:rPr>
        <w:t xml:space="preserve"> pela autora CARVALHO, Gabrielle, 2026</w:t>
      </w:r>
    </w:p>
    <w:p w14:paraId="2B1F8C3D" w14:textId="77777777" w:rsidR="008D707D" w:rsidRPr="008D707D" w:rsidRDefault="008D707D" w:rsidP="008D707D">
      <w:pPr>
        <w:pStyle w:val="Normal1"/>
        <w:spacing w:before="120" w:after="120" w:line="360" w:lineRule="auto"/>
        <w:ind w:firstLine="0"/>
        <w:jc w:val="both"/>
        <w:rPr>
          <w:rFonts w:ascii="High Tower Text" w:eastAsia="Arial" w:hAnsi="High Tower Text" w:cs="Arial"/>
          <w:color w:val="000000" w:themeColor="text1"/>
          <w:sz w:val="24"/>
          <w:szCs w:val="24"/>
        </w:rPr>
      </w:pPr>
    </w:p>
    <w:p w14:paraId="401AD668" w14:textId="77777777" w:rsidR="008D707D" w:rsidRDefault="008D707D" w:rsidP="008D707D">
      <w:pPr>
        <w:pStyle w:val="Normal1"/>
        <w:spacing w:before="120" w:after="120" w:line="240" w:lineRule="auto"/>
        <w:ind w:firstLine="0"/>
        <w:jc w:val="both"/>
        <w:rPr>
          <w:rFonts w:ascii="High Tower Text" w:eastAsia="Arial" w:hAnsi="High Tower Text" w:cs="Arial"/>
          <w:b/>
          <w:bCs/>
          <w:color w:val="000000" w:themeColor="text1"/>
          <w:sz w:val="24"/>
          <w:szCs w:val="24"/>
        </w:rPr>
      </w:pPr>
    </w:p>
    <w:p w14:paraId="7BCC60E3" w14:textId="77777777" w:rsidR="008D707D" w:rsidRDefault="008D707D" w:rsidP="008D707D">
      <w:pPr>
        <w:pStyle w:val="Normal1"/>
        <w:spacing w:before="120" w:after="120" w:line="240" w:lineRule="auto"/>
        <w:ind w:firstLine="0"/>
        <w:jc w:val="both"/>
        <w:rPr>
          <w:rFonts w:ascii="High Tower Text" w:eastAsia="Arial" w:hAnsi="High Tower Text" w:cs="Arial"/>
          <w:b/>
          <w:bCs/>
          <w:color w:val="000000" w:themeColor="text1"/>
          <w:sz w:val="24"/>
          <w:szCs w:val="24"/>
        </w:rPr>
      </w:pPr>
    </w:p>
    <w:p w14:paraId="7453D2E1" w14:textId="60A02C32" w:rsidR="008D707D" w:rsidRPr="008D707D" w:rsidRDefault="008D707D" w:rsidP="008D707D">
      <w:pPr>
        <w:pStyle w:val="Normal1"/>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lastRenderedPageBreak/>
        <w:t>Apresentação da revisão integrativa</w:t>
      </w:r>
    </w:p>
    <w:p w14:paraId="4D7B6B56"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Inicialmente, foram identificados 297 documentos nas bases de dados consultadas. Após a aplicação dos critérios de elegibilidade, permaneceram 31 documentos para análise. Em seguida, foi realizada a leitura dos títulos e resumos, etapa na qual foram excluídos os estudos que não apresentavam relação suficientemente direta com o objetivo da pesquisa, resultando em cinco trabalhos. Posteriormente, os textos foram analisados integralmente, considerando sua pertinência temática e sua contribuição para a questão investigada. Ao final desse processo, quatro artigos foram selecionados para compor a síntese da presente revisão. A tabela 1 demonstra a organização dos dados coletados na etapa da pesquisa.</w:t>
      </w:r>
    </w:p>
    <w:p w14:paraId="7D0C7B92" w14:textId="77777777" w:rsidR="008D707D" w:rsidRDefault="008D707D" w:rsidP="008D707D">
      <w:pPr>
        <w:pStyle w:val="Normal1"/>
        <w:spacing w:before="100" w:beforeAutospacing="1" w:after="100" w:afterAutospacing="1" w:line="240" w:lineRule="auto"/>
        <w:ind w:firstLine="0"/>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rPr>
        <w:t xml:space="preserve">Tabela </w:t>
      </w:r>
      <w:proofErr w:type="gramStart"/>
      <w:r w:rsidRPr="008D707D">
        <w:rPr>
          <w:rFonts w:ascii="High Tower Text" w:eastAsia="Arial" w:hAnsi="High Tower Text" w:cs="Arial"/>
          <w:b/>
          <w:bCs/>
          <w:color w:val="000000" w:themeColor="text1"/>
          <w:sz w:val="20"/>
          <w:szCs w:val="20"/>
        </w:rPr>
        <w:t xml:space="preserve">1  </w:t>
      </w:r>
      <w:r w:rsidRPr="008D707D">
        <w:rPr>
          <w:rFonts w:ascii="High Tower Text" w:eastAsia="Arial" w:hAnsi="High Tower Text" w:cs="Arial"/>
          <w:color w:val="000000" w:themeColor="text1"/>
          <w:sz w:val="20"/>
          <w:szCs w:val="20"/>
        </w:rPr>
        <w:t>-</w:t>
      </w:r>
      <w:proofErr w:type="gramEnd"/>
      <w:r w:rsidRPr="008D707D">
        <w:rPr>
          <w:rFonts w:ascii="High Tower Text" w:eastAsia="Arial" w:hAnsi="High Tower Text" w:cs="Arial"/>
          <w:color w:val="000000" w:themeColor="text1"/>
          <w:sz w:val="20"/>
          <w:szCs w:val="20"/>
        </w:rPr>
        <w:t xml:space="preserve"> Etapas da Elaboração da pesquisa</w:t>
      </w:r>
      <w:r w:rsidRPr="008D707D">
        <w:rPr>
          <w:rFonts w:ascii="High Tower Text" w:eastAsia="Arial" w:hAnsi="High Tower Text" w:cs="Arial"/>
          <w:color w:val="000000" w:themeColor="text1"/>
          <w:sz w:val="20"/>
          <w:szCs w:val="20"/>
        </w:rPr>
        <w:tab/>
      </w:r>
    </w:p>
    <w:p w14:paraId="12D19A36" w14:textId="47D62313" w:rsidR="008D707D" w:rsidRPr="008D707D" w:rsidRDefault="008D707D" w:rsidP="008D707D">
      <w:pPr>
        <w:pStyle w:val="Normal1"/>
        <w:spacing w:after="0" w:line="240" w:lineRule="auto"/>
        <w:ind w:firstLine="0"/>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ab/>
      </w:r>
    </w:p>
    <w:tbl>
      <w:tblPr>
        <w:tblW w:w="6000" w:type="dxa"/>
        <w:tblLayout w:type="fixed"/>
        <w:tblLook w:val="0000" w:firstRow="0" w:lastRow="0" w:firstColumn="0" w:lastColumn="0" w:noHBand="0" w:noVBand="0"/>
      </w:tblPr>
      <w:tblGrid>
        <w:gridCol w:w="4665"/>
        <w:gridCol w:w="1335"/>
      </w:tblGrid>
      <w:tr w:rsidR="008D707D" w:rsidRPr="008D707D" w14:paraId="4510DAF1" w14:textId="77777777" w:rsidTr="008D707D">
        <w:trPr>
          <w:cantSplit/>
          <w:trHeight w:val="285"/>
          <w:tblHeader/>
        </w:trPr>
        <w:tc>
          <w:tcPr>
            <w:tcW w:w="4665" w:type="dxa"/>
            <w:tcBorders>
              <w:top w:val="single" w:sz="6" w:space="0" w:color="000000"/>
              <w:bottom w:val="single" w:sz="6" w:space="0" w:color="000000"/>
            </w:tcBorders>
            <w:tcMar>
              <w:top w:w="0" w:type="dxa"/>
              <w:left w:w="100" w:type="dxa"/>
              <w:bottom w:w="0" w:type="dxa"/>
              <w:right w:w="100" w:type="dxa"/>
            </w:tcMar>
          </w:tcPr>
          <w:p w14:paraId="0E15C68A"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rPr>
              <w:t>Etapas da Pesquisa</w:t>
            </w:r>
          </w:p>
        </w:tc>
        <w:tc>
          <w:tcPr>
            <w:tcW w:w="1335" w:type="dxa"/>
            <w:tcBorders>
              <w:top w:val="single" w:sz="6" w:space="0" w:color="000000"/>
              <w:bottom w:val="single" w:sz="6" w:space="0" w:color="000000"/>
            </w:tcBorders>
            <w:tcMar>
              <w:top w:w="0" w:type="dxa"/>
              <w:left w:w="100" w:type="dxa"/>
              <w:bottom w:w="0" w:type="dxa"/>
              <w:right w:w="100" w:type="dxa"/>
            </w:tcMar>
          </w:tcPr>
          <w:p w14:paraId="746E4318"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rPr>
              <w:t>Resultados</w:t>
            </w:r>
          </w:p>
        </w:tc>
      </w:tr>
      <w:tr w:rsidR="008D707D" w:rsidRPr="008D707D" w14:paraId="0D44FC54" w14:textId="77777777" w:rsidTr="008D707D">
        <w:trPr>
          <w:cantSplit/>
          <w:trHeight w:val="555"/>
          <w:tblHeader/>
        </w:trPr>
        <w:tc>
          <w:tcPr>
            <w:tcW w:w="4665" w:type="dxa"/>
            <w:tcBorders>
              <w:top w:val="single" w:sz="6" w:space="0" w:color="000000"/>
            </w:tcBorders>
            <w:shd w:val="clear" w:color="auto" w:fill="C0C0C0"/>
            <w:tcMar>
              <w:top w:w="0" w:type="dxa"/>
              <w:left w:w="100" w:type="dxa"/>
              <w:bottom w:w="0" w:type="dxa"/>
              <w:right w:w="100" w:type="dxa"/>
            </w:tcMar>
          </w:tcPr>
          <w:p w14:paraId="32AC26B2"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iniciais encontrados nas bases de dados</w:t>
            </w:r>
          </w:p>
        </w:tc>
        <w:tc>
          <w:tcPr>
            <w:tcW w:w="1335" w:type="dxa"/>
            <w:tcBorders>
              <w:top w:val="single" w:sz="6" w:space="0" w:color="000000"/>
            </w:tcBorders>
            <w:shd w:val="clear" w:color="auto" w:fill="C0C0C0"/>
            <w:tcMar>
              <w:top w:w="0" w:type="dxa"/>
              <w:left w:w="100" w:type="dxa"/>
              <w:bottom w:w="0" w:type="dxa"/>
              <w:right w:w="100" w:type="dxa"/>
            </w:tcMar>
          </w:tcPr>
          <w:p w14:paraId="115537A9"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297</w:t>
            </w:r>
          </w:p>
        </w:tc>
      </w:tr>
      <w:tr w:rsidR="008D707D" w:rsidRPr="008D707D" w14:paraId="0CBA4DF4" w14:textId="77777777" w:rsidTr="008D707D">
        <w:trPr>
          <w:cantSplit/>
          <w:trHeight w:val="540"/>
          <w:tblHeader/>
        </w:trPr>
        <w:tc>
          <w:tcPr>
            <w:tcW w:w="4665" w:type="dxa"/>
            <w:tcMar>
              <w:top w:w="0" w:type="dxa"/>
              <w:left w:w="100" w:type="dxa"/>
              <w:bottom w:w="0" w:type="dxa"/>
              <w:right w:w="100" w:type="dxa"/>
            </w:tcMar>
          </w:tcPr>
          <w:p w14:paraId="2A90E341"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selecionados após critérios de elegibilidade</w:t>
            </w:r>
          </w:p>
        </w:tc>
        <w:tc>
          <w:tcPr>
            <w:tcW w:w="1335" w:type="dxa"/>
            <w:tcMar>
              <w:top w:w="0" w:type="dxa"/>
              <w:left w:w="100" w:type="dxa"/>
              <w:bottom w:w="0" w:type="dxa"/>
              <w:right w:w="100" w:type="dxa"/>
            </w:tcMar>
          </w:tcPr>
          <w:p w14:paraId="136B0C0F"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31</w:t>
            </w:r>
          </w:p>
        </w:tc>
      </w:tr>
      <w:tr w:rsidR="008D707D" w:rsidRPr="008D707D" w14:paraId="21F0DB98" w14:textId="77777777" w:rsidTr="008D707D">
        <w:trPr>
          <w:cantSplit/>
          <w:trHeight w:val="630"/>
          <w:tblHeader/>
        </w:trPr>
        <w:tc>
          <w:tcPr>
            <w:tcW w:w="4665" w:type="dxa"/>
            <w:shd w:val="clear" w:color="auto" w:fill="C0C0C0"/>
            <w:tcMar>
              <w:top w:w="0" w:type="dxa"/>
              <w:left w:w="100" w:type="dxa"/>
              <w:bottom w:w="0" w:type="dxa"/>
              <w:right w:w="100" w:type="dxa"/>
            </w:tcMar>
          </w:tcPr>
          <w:p w14:paraId="624D4D73"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restantes após leitura de títulos e resumos</w:t>
            </w:r>
          </w:p>
        </w:tc>
        <w:tc>
          <w:tcPr>
            <w:tcW w:w="1335" w:type="dxa"/>
            <w:shd w:val="clear" w:color="auto" w:fill="C0C0C0"/>
            <w:tcMar>
              <w:top w:w="0" w:type="dxa"/>
              <w:left w:w="100" w:type="dxa"/>
              <w:bottom w:w="0" w:type="dxa"/>
              <w:right w:w="100" w:type="dxa"/>
            </w:tcMar>
          </w:tcPr>
          <w:p w14:paraId="4AA11D60"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05</w:t>
            </w:r>
          </w:p>
        </w:tc>
      </w:tr>
      <w:tr w:rsidR="008D707D" w:rsidRPr="008D707D" w14:paraId="087BB41B" w14:textId="77777777" w:rsidTr="008D707D">
        <w:trPr>
          <w:cantSplit/>
          <w:trHeight w:val="825"/>
          <w:tblHeader/>
        </w:trPr>
        <w:tc>
          <w:tcPr>
            <w:tcW w:w="4665" w:type="dxa"/>
            <w:tcBorders>
              <w:bottom w:val="single" w:sz="6" w:space="0" w:color="000000"/>
            </w:tcBorders>
            <w:tcMar>
              <w:top w:w="0" w:type="dxa"/>
              <w:left w:w="100" w:type="dxa"/>
              <w:bottom w:w="0" w:type="dxa"/>
              <w:right w:w="100" w:type="dxa"/>
            </w:tcMar>
          </w:tcPr>
          <w:p w14:paraId="30252964"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Documentos restantes após leitura completa e análise de conteúdo</w:t>
            </w:r>
          </w:p>
        </w:tc>
        <w:tc>
          <w:tcPr>
            <w:tcW w:w="1335" w:type="dxa"/>
            <w:tcBorders>
              <w:bottom w:val="single" w:sz="6" w:space="0" w:color="000000"/>
            </w:tcBorders>
            <w:tcMar>
              <w:top w:w="0" w:type="dxa"/>
              <w:left w:w="100" w:type="dxa"/>
              <w:bottom w:w="0" w:type="dxa"/>
              <w:right w:w="100" w:type="dxa"/>
            </w:tcMar>
          </w:tcPr>
          <w:p w14:paraId="1CB1ACA2"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03</w:t>
            </w:r>
          </w:p>
          <w:p w14:paraId="67388B61"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 </w:t>
            </w:r>
          </w:p>
          <w:p w14:paraId="7F4801D8" w14:textId="77777777" w:rsidR="008D707D" w:rsidRPr="008D707D" w:rsidRDefault="008D707D" w:rsidP="005F6EEB">
            <w:pPr>
              <w:pStyle w:val="Normal1"/>
              <w:spacing w:after="0" w:line="240" w:lineRule="auto"/>
              <w:ind w:hanging="2"/>
              <w:jc w:val="center"/>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 </w:t>
            </w:r>
          </w:p>
        </w:tc>
      </w:tr>
    </w:tbl>
    <w:p w14:paraId="0CB9345F" w14:textId="77777777" w:rsidR="008D707D" w:rsidRPr="008D707D" w:rsidRDefault="008D707D" w:rsidP="008D707D">
      <w:pPr>
        <w:pStyle w:val="Normal1"/>
        <w:spacing w:before="240" w:after="120"/>
        <w:ind w:firstLine="0"/>
        <w:rPr>
          <w:rFonts w:ascii="High Tower Text" w:eastAsia="Times New Roman" w:hAnsi="High Tower Text" w:cs="Times New Roman"/>
          <w:color w:val="000000" w:themeColor="text1"/>
          <w:sz w:val="20"/>
          <w:szCs w:val="20"/>
        </w:rPr>
      </w:pPr>
      <w:r w:rsidRPr="008D707D">
        <w:rPr>
          <w:rFonts w:ascii="High Tower Text" w:eastAsia="Times New Roman" w:hAnsi="High Tower Text" w:cs="Times New Roman"/>
          <w:b/>
          <w:bCs/>
          <w:color w:val="000000" w:themeColor="text1"/>
          <w:sz w:val="20"/>
          <w:szCs w:val="20"/>
        </w:rPr>
        <w:t>Fonte:</w:t>
      </w:r>
      <w:r w:rsidRPr="008D707D">
        <w:rPr>
          <w:rFonts w:ascii="High Tower Text" w:eastAsia="Times New Roman" w:hAnsi="High Tower Text" w:cs="Times New Roman"/>
          <w:color w:val="000000" w:themeColor="text1"/>
          <w:sz w:val="20"/>
          <w:szCs w:val="20"/>
        </w:rPr>
        <w:t xml:space="preserve"> </w:t>
      </w:r>
      <w:r w:rsidRPr="008D707D">
        <w:rPr>
          <w:rFonts w:ascii="High Tower Text" w:eastAsia="Arial" w:hAnsi="High Tower Text" w:cs="Arial"/>
          <w:color w:val="000000" w:themeColor="text1"/>
          <w:sz w:val="20"/>
          <w:szCs w:val="20"/>
        </w:rPr>
        <w:t>Elaborado pela autora CARVALHO, Gabrielle, 2026</w:t>
      </w:r>
    </w:p>
    <w:p w14:paraId="04790C52" w14:textId="77777777" w:rsidR="008D707D" w:rsidRDefault="008D707D" w:rsidP="008D707D">
      <w:pPr>
        <w:pStyle w:val="Normal1"/>
        <w:spacing w:before="100" w:beforeAutospacing="1" w:after="240" w:line="240" w:lineRule="auto"/>
        <w:ind w:firstLine="0"/>
        <w:rPr>
          <w:rFonts w:ascii="High Tower Text" w:eastAsia="Arial" w:hAnsi="High Tower Text" w:cs="Arial"/>
          <w:b/>
          <w:bCs/>
          <w:color w:val="000000" w:themeColor="text1"/>
          <w:sz w:val="24"/>
          <w:szCs w:val="24"/>
        </w:rPr>
      </w:pPr>
    </w:p>
    <w:p w14:paraId="796B7542" w14:textId="5232DDEF" w:rsidR="008D707D" w:rsidRPr="008D707D" w:rsidRDefault="008D707D" w:rsidP="008D707D">
      <w:pPr>
        <w:pStyle w:val="Normal1"/>
        <w:spacing w:before="100" w:beforeAutospacing="1" w:after="100" w:afterAutospacing="1" w:line="240" w:lineRule="auto"/>
        <w:ind w:firstLine="0"/>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RESULTADOS E DISCUSSÃO</w:t>
      </w:r>
    </w:p>
    <w:p w14:paraId="4D8C4C6D"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b/>
          <w:bCs/>
          <w:color w:val="000000" w:themeColor="text1"/>
          <w:sz w:val="24"/>
          <w:szCs w:val="24"/>
        </w:rPr>
      </w:pPr>
      <w:r w:rsidRPr="008D707D">
        <w:rPr>
          <w:rFonts w:ascii="High Tower Text" w:eastAsia="Arial" w:hAnsi="High Tower Text" w:cs="Arial"/>
          <w:color w:val="000000" w:themeColor="text1"/>
          <w:sz w:val="24"/>
          <w:szCs w:val="24"/>
        </w:rPr>
        <w:t xml:space="preserve">Como demonstrado, em relação à pesquisa bibliográfica, há uma escassez de pesquisas que abordem o objeto proposto, principalmente quando se concentram em jovens adultos. Com o intuito de proporcionar uma organização clara dos estudos selecionados, dispomos sinteticamente por meio </w:t>
      </w:r>
      <w:proofErr w:type="gramStart"/>
      <w:r w:rsidRPr="008D707D">
        <w:rPr>
          <w:rFonts w:ascii="High Tower Text" w:eastAsia="Arial" w:hAnsi="High Tower Text" w:cs="Arial"/>
          <w:color w:val="000000" w:themeColor="text1"/>
          <w:sz w:val="24"/>
          <w:szCs w:val="24"/>
        </w:rPr>
        <w:t>de  título</w:t>
      </w:r>
      <w:proofErr w:type="gramEnd"/>
      <w:r w:rsidRPr="008D707D">
        <w:rPr>
          <w:rFonts w:ascii="High Tower Text" w:eastAsia="Arial" w:hAnsi="High Tower Text" w:cs="Arial"/>
          <w:color w:val="000000" w:themeColor="text1"/>
          <w:sz w:val="24"/>
          <w:szCs w:val="24"/>
        </w:rPr>
        <w:t xml:space="preserve">, autoria, ano de publicação e síntese, no Quadro 1, ou seja, das principais características metodológicas. </w:t>
      </w:r>
      <w:r w:rsidRPr="008D707D">
        <w:rPr>
          <w:rFonts w:ascii="High Tower Text" w:eastAsia="Arial" w:hAnsi="High Tower Text" w:cs="Arial"/>
          <w:b/>
          <w:bCs/>
          <w:color w:val="000000" w:themeColor="text1"/>
          <w:sz w:val="24"/>
          <w:szCs w:val="24"/>
        </w:rPr>
        <w:t>  </w:t>
      </w:r>
    </w:p>
    <w:p w14:paraId="1A5CD242" w14:textId="77777777" w:rsidR="008D707D" w:rsidRPr="008D707D" w:rsidRDefault="008D707D" w:rsidP="008D707D">
      <w:pPr>
        <w:pStyle w:val="Normal1"/>
        <w:pBdr>
          <w:top w:val="nil"/>
          <w:left w:val="nil"/>
          <w:bottom w:val="nil"/>
          <w:right w:val="nil"/>
          <w:between w:val="nil"/>
        </w:pBdr>
        <w:spacing w:before="280" w:after="280" w:line="360" w:lineRule="auto"/>
        <w:ind w:firstLine="708"/>
        <w:jc w:val="both"/>
        <w:rPr>
          <w:rFonts w:ascii="High Tower Text" w:eastAsia="Arial" w:hAnsi="High Tower Text" w:cs="Arial"/>
          <w:b/>
          <w:bCs/>
          <w:color w:val="000000" w:themeColor="text1"/>
          <w:sz w:val="24"/>
          <w:szCs w:val="24"/>
        </w:rPr>
      </w:pPr>
    </w:p>
    <w:p w14:paraId="75FAED96" w14:textId="77777777" w:rsidR="008D707D" w:rsidRPr="008D707D" w:rsidRDefault="008D707D" w:rsidP="008D707D">
      <w:pPr>
        <w:pStyle w:val="Normal1"/>
        <w:pBdr>
          <w:top w:val="nil"/>
          <w:left w:val="nil"/>
          <w:bottom w:val="nil"/>
          <w:right w:val="nil"/>
          <w:between w:val="nil"/>
        </w:pBdr>
        <w:spacing w:before="280" w:after="280" w:line="360" w:lineRule="auto"/>
        <w:ind w:firstLine="708"/>
        <w:jc w:val="both"/>
        <w:rPr>
          <w:rFonts w:ascii="High Tower Text" w:eastAsia="Arial" w:hAnsi="High Tower Text" w:cs="Arial"/>
          <w:b/>
          <w:bCs/>
          <w:color w:val="000000" w:themeColor="text1"/>
          <w:sz w:val="24"/>
          <w:szCs w:val="24"/>
        </w:rPr>
      </w:pPr>
    </w:p>
    <w:p w14:paraId="725D373D" w14:textId="77777777" w:rsidR="008D707D" w:rsidRPr="008D707D" w:rsidRDefault="008D707D" w:rsidP="008D707D">
      <w:pPr>
        <w:pStyle w:val="Normal1"/>
        <w:pBdr>
          <w:top w:val="nil"/>
          <w:left w:val="nil"/>
          <w:bottom w:val="nil"/>
          <w:right w:val="nil"/>
          <w:between w:val="nil"/>
        </w:pBdr>
        <w:spacing w:before="280" w:after="280" w:line="240" w:lineRule="auto"/>
        <w:ind w:hanging="22"/>
        <w:rPr>
          <w:rFonts w:ascii="High Tower Text" w:eastAsia="Arial" w:hAnsi="High Tower Text" w:cs="Arial"/>
          <w:color w:val="000000" w:themeColor="text1"/>
          <w:sz w:val="20"/>
          <w:szCs w:val="20"/>
        </w:rPr>
      </w:pPr>
      <w:r w:rsidRPr="008D707D">
        <w:rPr>
          <w:rFonts w:ascii="High Tower Text" w:eastAsia="Arial" w:hAnsi="High Tower Text" w:cs="Arial"/>
          <w:b/>
          <w:bCs/>
          <w:color w:val="000000" w:themeColor="text1"/>
          <w:sz w:val="20"/>
          <w:szCs w:val="20"/>
          <w:highlight w:val="white"/>
        </w:rPr>
        <w:lastRenderedPageBreak/>
        <w:t xml:space="preserve">Quadro 1 - </w:t>
      </w:r>
      <w:r w:rsidRPr="008D707D">
        <w:rPr>
          <w:rFonts w:ascii="High Tower Text" w:eastAsia="Arial" w:hAnsi="High Tower Text" w:cs="Arial"/>
          <w:color w:val="000000" w:themeColor="text1"/>
          <w:sz w:val="20"/>
          <w:szCs w:val="20"/>
          <w:highlight w:val="white"/>
        </w:rPr>
        <w:t>Artigos selecionados</w:t>
      </w:r>
    </w:p>
    <w:tbl>
      <w:tblPr>
        <w:tblW w:w="9010" w:type="dxa"/>
        <w:tblLayout w:type="fixed"/>
        <w:tblLook w:val="0000" w:firstRow="0" w:lastRow="0" w:firstColumn="0" w:lastColumn="0" w:noHBand="0" w:noVBand="0"/>
      </w:tblPr>
      <w:tblGrid>
        <w:gridCol w:w="1765"/>
        <w:gridCol w:w="2700"/>
        <w:gridCol w:w="1140"/>
        <w:gridCol w:w="3405"/>
      </w:tblGrid>
      <w:tr w:rsidR="008D707D" w:rsidRPr="008D707D" w14:paraId="35E1EFC3" w14:textId="77777777" w:rsidTr="008D707D">
        <w:trPr>
          <w:cantSplit/>
          <w:trHeight w:val="855"/>
          <w:tblHeader/>
        </w:trPr>
        <w:tc>
          <w:tcPr>
            <w:tcW w:w="17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1D03B6"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Título</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245454"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Autoria</w:t>
            </w:r>
          </w:p>
        </w:tc>
        <w:tc>
          <w:tcPr>
            <w:tcW w:w="11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5C3F40E"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Ano de publicação</w:t>
            </w:r>
          </w:p>
        </w:tc>
        <w:tc>
          <w:tcPr>
            <w:tcW w:w="3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76993F"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Principais achados</w:t>
            </w:r>
          </w:p>
        </w:tc>
      </w:tr>
      <w:tr w:rsidR="008D707D" w:rsidRPr="008D707D" w14:paraId="6FAC9A2D" w14:textId="77777777" w:rsidTr="008D707D">
        <w:trPr>
          <w:cantSplit/>
          <w:trHeight w:val="1860"/>
          <w:tblHeader/>
        </w:trPr>
        <w:tc>
          <w:tcPr>
            <w:tcW w:w="17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B7D891"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Cardiac structure and function in anabolic-androgenic steroid users: a 16-year follow-up study</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FC0C84"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 xml:space="preserve">Fyksen, Tea </w:t>
            </w:r>
            <w:proofErr w:type="spellStart"/>
            <w:r w:rsidRPr="008D707D">
              <w:rPr>
                <w:rFonts w:ascii="High Tower Text" w:eastAsia="Arial" w:hAnsi="High Tower Text" w:cs="Arial"/>
                <w:color w:val="000000" w:themeColor="text1"/>
                <w:sz w:val="20"/>
                <w:szCs w:val="20"/>
                <w:lang w:val="en-US"/>
              </w:rPr>
              <w:t>Sætereng</w:t>
            </w:r>
            <w:proofErr w:type="spellEnd"/>
            <w:r w:rsidRPr="008D707D">
              <w:rPr>
                <w:rFonts w:ascii="High Tower Text" w:eastAsia="Arial" w:hAnsi="High Tower Text" w:cs="Arial"/>
                <w:color w:val="000000" w:themeColor="text1"/>
                <w:sz w:val="20"/>
                <w:szCs w:val="20"/>
                <w:lang w:val="en-US"/>
              </w:rPr>
              <w:t xml:space="preserve">; Gravning, Jørgen; Rossebø, Anne; Vanberg, Paul; </w:t>
            </w:r>
            <w:proofErr w:type="spellStart"/>
            <w:r w:rsidRPr="008D707D">
              <w:rPr>
                <w:rFonts w:ascii="High Tower Text" w:eastAsia="Arial" w:hAnsi="High Tower Text" w:cs="Arial"/>
                <w:color w:val="000000" w:themeColor="text1"/>
                <w:sz w:val="20"/>
                <w:szCs w:val="20"/>
                <w:lang w:val="en-US"/>
              </w:rPr>
              <w:t>Grøtta</w:t>
            </w:r>
            <w:proofErr w:type="spellEnd"/>
            <w:r w:rsidRPr="008D707D">
              <w:rPr>
                <w:rFonts w:ascii="High Tower Text" w:eastAsia="Arial" w:hAnsi="High Tower Text" w:cs="Arial"/>
                <w:color w:val="000000" w:themeColor="text1"/>
                <w:sz w:val="20"/>
                <w:szCs w:val="20"/>
                <w:lang w:val="en-US"/>
              </w:rPr>
              <w:t>, Ole Jørgen; Atar, Dan; Halvorsen, Sigrun</w:t>
            </w:r>
          </w:p>
        </w:tc>
        <w:tc>
          <w:tcPr>
            <w:tcW w:w="11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78F5A0" w14:textId="77777777" w:rsidR="008D707D" w:rsidRPr="008D707D" w:rsidRDefault="008D707D" w:rsidP="008D707D">
            <w:pPr>
              <w:pStyle w:val="Normal1"/>
              <w:spacing w:after="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2025</w:t>
            </w:r>
          </w:p>
        </w:tc>
        <w:tc>
          <w:tcPr>
            <w:tcW w:w="3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73D484"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 Alterações na estrutura e função cardíacas; redução do remodelamento e melhora funcional entre aqueles que interromperam o uso</w:t>
            </w:r>
          </w:p>
        </w:tc>
      </w:tr>
      <w:tr w:rsidR="008D707D" w:rsidRPr="008D707D" w14:paraId="41EBA880" w14:textId="77777777" w:rsidTr="008D707D">
        <w:trPr>
          <w:cantSplit/>
          <w:trHeight w:val="2535"/>
          <w:tblHeader/>
        </w:trPr>
        <w:tc>
          <w:tcPr>
            <w:tcW w:w="17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A3A277"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Rate and Extent of Recovery from Reproductive and Cardiac Dysfunction Due to Androgen Abuse in Men</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9C7B48"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 xml:space="preserve">Shankara-Narayana, Nandini; Yu, Christopher; </w:t>
            </w:r>
            <w:proofErr w:type="spellStart"/>
            <w:r w:rsidRPr="008D707D">
              <w:rPr>
                <w:rFonts w:ascii="High Tower Text" w:eastAsia="Arial" w:hAnsi="High Tower Text" w:cs="Arial"/>
                <w:color w:val="000000" w:themeColor="text1"/>
                <w:sz w:val="20"/>
                <w:szCs w:val="20"/>
                <w:lang w:val="en-US"/>
              </w:rPr>
              <w:t>Savkovic</w:t>
            </w:r>
            <w:proofErr w:type="spellEnd"/>
            <w:r w:rsidRPr="008D707D">
              <w:rPr>
                <w:rFonts w:ascii="High Tower Text" w:eastAsia="Arial" w:hAnsi="High Tower Text" w:cs="Arial"/>
                <w:color w:val="000000" w:themeColor="text1"/>
                <w:sz w:val="20"/>
                <w:szCs w:val="20"/>
                <w:lang w:val="en-US"/>
              </w:rPr>
              <w:t xml:space="preserve">, Sasha; Desai, Reena; Fennell, Carolyn; Turner, Leo; Jayadev, Veena; Conway, Ann J; </w:t>
            </w:r>
            <w:proofErr w:type="spellStart"/>
            <w:r w:rsidRPr="008D707D">
              <w:rPr>
                <w:rFonts w:ascii="High Tower Text" w:eastAsia="Arial" w:hAnsi="High Tower Text" w:cs="Arial"/>
                <w:color w:val="000000" w:themeColor="text1"/>
                <w:sz w:val="20"/>
                <w:szCs w:val="20"/>
                <w:lang w:val="en-US"/>
              </w:rPr>
              <w:t>Kockx</w:t>
            </w:r>
            <w:proofErr w:type="spellEnd"/>
            <w:r w:rsidRPr="008D707D">
              <w:rPr>
                <w:rFonts w:ascii="High Tower Text" w:eastAsia="Arial" w:hAnsi="High Tower Text" w:cs="Arial"/>
                <w:color w:val="000000" w:themeColor="text1"/>
                <w:sz w:val="20"/>
                <w:szCs w:val="20"/>
                <w:lang w:val="en-US"/>
              </w:rPr>
              <w:t xml:space="preserve">, Maaike; Ridley, Lloyd; </w:t>
            </w:r>
            <w:proofErr w:type="spellStart"/>
            <w:r w:rsidRPr="008D707D">
              <w:rPr>
                <w:rFonts w:ascii="High Tower Text" w:eastAsia="Arial" w:hAnsi="High Tower Text" w:cs="Arial"/>
                <w:color w:val="000000" w:themeColor="text1"/>
                <w:sz w:val="20"/>
                <w:szCs w:val="20"/>
                <w:lang w:val="en-US"/>
              </w:rPr>
              <w:t>Kritharides</w:t>
            </w:r>
            <w:proofErr w:type="spellEnd"/>
            <w:r w:rsidRPr="008D707D">
              <w:rPr>
                <w:rFonts w:ascii="High Tower Text" w:eastAsia="Arial" w:hAnsi="High Tower Text" w:cs="Arial"/>
                <w:color w:val="000000" w:themeColor="text1"/>
                <w:sz w:val="20"/>
                <w:szCs w:val="20"/>
                <w:lang w:val="en-US"/>
              </w:rPr>
              <w:t>, Len; Handelsman, David J</w:t>
            </w:r>
          </w:p>
        </w:tc>
        <w:tc>
          <w:tcPr>
            <w:tcW w:w="11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326103"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lang w:val="en-US"/>
              </w:rPr>
              <w:t> </w:t>
            </w:r>
            <w:r w:rsidRPr="008D707D">
              <w:rPr>
                <w:rFonts w:ascii="High Tower Text" w:eastAsia="Arial" w:hAnsi="High Tower Text" w:cs="Arial"/>
                <w:color w:val="000000" w:themeColor="text1"/>
                <w:sz w:val="20"/>
                <w:szCs w:val="20"/>
              </w:rPr>
              <w:t>2020</w:t>
            </w:r>
          </w:p>
        </w:tc>
        <w:tc>
          <w:tcPr>
            <w:tcW w:w="3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C05A20"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 xml:space="preserve">Comprometimento da função sistólica entre usuários atuais e resultados compatíveis com recuperação entre </w:t>
            </w:r>
            <w:proofErr w:type="spellStart"/>
            <w:r w:rsidRPr="008D707D">
              <w:rPr>
                <w:rFonts w:ascii="High Tower Text" w:eastAsia="Arial" w:hAnsi="High Tower Text" w:cs="Arial"/>
                <w:color w:val="000000" w:themeColor="text1"/>
                <w:sz w:val="20"/>
                <w:szCs w:val="20"/>
              </w:rPr>
              <w:t>ex-usuários</w:t>
            </w:r>
            <w:proofErr w:type="spellEnd"/>
            <w:r w:rsidRPr="008D707D">
              <w:rPr>
                <w:rFonts w:ascii="High Tower Text" w:eastAsia="Arial" w:hAnsi="High Tower Text" w:cs="Arial"/>
                <w:color w:val="000000" w:themeColor="text1"/>
                <w:sz w:val="20"/>
                <w:szCs w:val="20"/>
              </w:rPr>
              <w:t xml:space="preserve"> adultos jovens, dentro de um período de 6 a 18 meses após a interrupção do uso </w:t>
            </w:r>
          </w:p>
          <w:p w14:paraId="724E53A4"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p>
        </w:tc>
      </w:tr>
      <w:tr w:rsidR="008D707D" w:rsidRPr="008D707D" w14:paraId="0621E313" w14:textId="77777777" w:rsidTr="008D707D">
        <w:trPr>
          <w:cantSplit/>
          <w:trHeight w:val="2430"/>
          <w:tblHeader/>
        </w:trPr>
        <w:tc>
          <w:tcPr>
            <w:tcW w:w="17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ABFBF6"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Testosterone-to-estradiol ratio and platelet thromboxane release in ischemic heart disease: the EVA project.  </w:t>
            </w:r>
          </w:p>
          <w:p w14:paraId="48EDCE74"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lang w:val="en-US"/>
              </w:rPr>
            </w:pPr>
            <w:r w:rsidRPr="008D707D">
              <w:rPr>
                <w:rFonts w:ascii="High Tower Text" w:eastAsia="Arial" w:hAnsi="High Tower Text" w:cs="Arial"/>
                <w:color w:val="000000" w:themeColor="text1"/>
                <w:sz w:val="20"/>
                <w:szCs w:val="20"/>
                <w:lang w:val="en-US"/>
              </w:rPr>
              <w:t> </w:t>
            </w:r>
          </w:p>
        </w:tc>
        <w:tc>
          <w:tcPr>
            <w:tcW w:w="27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1619EC"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proofErr w:type="spellStart"/>
            <w:r w:rsidRPr="008D707D">
              <w:rPr>
                <w:rFonts w:ascii="High Tower Text" w:eastAsia="Arial" w:hAnsi="High Tower Text" w:cs="Arial"/>
                <w:color w:val="000000" w:themeColor="text1"/>
                <w:sz w:val="20"/>
                <w:szCs w:val="20"/>
              </w:rPr>
              <w:t>Raparelli</w:t>
            </w:r>
            <w:proofErr w:type="spellEnd"/>
            <w:r w:rsidRPr="008D707D">
              <w:rPr>
                <w:rFonts w:ascii="High Tower Text" w:eastAsia="Arial" w:hAnsi="High Tower Text" w:cs="Arial"/>
                <w:color w:val="000000" w:themeColor="text1"/>
                <w:sz w:val="20"/>
                <w:szCs w:val="20"/>
              </w:rPr>
              <w:t xml:space="preserve"> V, </w:t>
            </w:r>
            <w:proofErr w:type="spellStart"/>
            <w:r w:rsidRPr="008D707D">
              <w:rPr>
                <w:rFonts w:ascii="High Tower Text" w:eastAsia="Arial" w:hAnsi="High Tower Text" w:cs="Arial"/>
                <w:color w:val="000000" w:themeColor="text1"/>
                <w:sz w:val="20"/>
                <w:szCs w:val="20"/>
              </w:rPr>
              <w:t>Nocella</w:t>
            </w:r>
            <w:proofErr w:type="spellEnd"/>
            <w:r w:rsidRPr="008D707D">
              <w:rPr>
                <w:rFonts w:ascii="High Tower Text" w:eastAsia="Arial" w:hAnsi="High Tower Text" w:cs="Arial"/>
                <w:color w:val="000000" w:themeColor="text1"/>
                <w:sz w:val="20"/>
                <w:szCs w:val="20"/>
              </w:rPr>
              <w:t xml:space="preserve"> C, Proietti M, </w:t>
            </w:r>
            <w:proofErr w:type="spellStart"/>
            <w:r w:rsidRPr="008D707D">
              <w:rPr>
                <w:rFonts w:ascii="High Tower Text" w:eastAsia="Arial" w:hAnsi="High Tower Text" w:cs="Arial"/>
                <w:color w:val="000000" w:themeColor="text1"/>
                <w:sz w:val="20"/>
                <w:szCs w:val="20"/>
              </w:rPr>
              <w:t>Romiti</w:t>
            </w:r>
            <w:proofErr w:type="spellEnd"/>
            <w:r w:rsidRPr="008D707D">
              <w:rPr>
                <w:rFonts w:ascii="High Tower Text" w:eastAsia="Arial" w:hAnsi="High Tower Text" w:cs="Arial"/>
                <w:color w:val="000000" w:themeColor="text1"/>
                <w:sz w:val="20"/>
                <w:szCs w:val="20"/>
              </w:rPr>
              <w:t xml:space="preserve"> GF, </w:t>
            </w:r>
            <w:proofErr w:type="spellStart"/>
            <w:r w:rsidRPr="008D707D">
              <w:rPr>
                <w:rFonts w:ascii="High Tower Text" w:eastAsia="Arial" w:hAnsi="High Tower Text" w:cs="Arial"/>
                <w:color w:val="000000" w:themeColor="text1"/>
                <w:sz w:val="20"/>
                <w:szCs w:val="20"/>
              </w:rPr>
              <w:t>Corica</w:t>
            </w:r>
            <w:proofErr w:type="spellEnd"/>
            <w:r w:rsidRPr="008D707D">
              <w:rPr>
                <w:rFonts w:ascii="High Tower Text" w:eastAsia="Arial" w:hAnsi="High Tower Text" w:cs="Arial"/>
                <w:color w:val="000000" w:themeColor="text1"/>
                <w:sz w:val="20"/>
                <w:szCs w:val="20"/>
              </w:rPr>
              <w:t xml:space="preserve"> B, </w:t>
            </w:r>
            <w:proofErr w:type="spellStart"/>
            <w:r w:rsidRPr="008D707D">
              <w:rPr>
                <w:rFonts w:ascii="High Tower Text" w:eastAsia="Arial" w:hAnsi="High Tower Text" w:cs="Arial"/>
                <w:color w:val="000000" w:themeColor="text1"/>
                <w:sz w:val="20"/>
                <w:szCs w:val="20"/>
              </w:rPr>
              <w:t>Bartimoccia</w:t>
            </w:r>
            <w:proofErr w:type="spellEnd"/>
            <w:r w:rsidRPr="008D707D">
              <w:rPr>
                <w:rFonts w:ascii="High Tower Text" w:eastAsia="Arial" w:hAnsi="High Tower Text" w:cs="Arial"/>
                <w:color w:val="000000" w:themeColor="text1"/>
                <w:sz w:val="20"/>
                <w:szCs w:val="20"/>
              </w:rPr>
              <w:t xml:space="preserve"> S, Stefanini L, Lenzi A, </w:t>
            </w:r>
            <w:proofErr w:type="spellStart"/>
            <w:r w:rsidRPr="008D707D">
              <w:rPr>
                <w:rFonts w:ascii="High Tower Text" w:eastAsia="Arial" w:hAnsi="High Tower Text" w:cs="Arial"/>
                <w:color w:val="000000" w:themeColor="text1"/>
                <w:sz w:val="20"/>
                <w:szCs w:val="20"/>
              </w:rPr>
              <w:t>Viceconte</w:t>
            </w:r>
            <w:proofErr w:type="spellEnd"/>
            <w:r w:rsidRPr="008D707D">
              <w:rPr>
                <w:rFonts w:ascii="High Tower Text" w:eastAsia="Arial" w:hAnsi="High Tower Text" w:cs="Arial"/>
                <w:color w:val="000000" w:themeColor="text1"/>
                <w:sz w:val="20"/>
                <w:szCs w:val="20"/>
              </w:rPr>
              <w:t xml:space="preserve"> N, </w:t>
            </w:r>
            <w:proofErr w:type="spellStart"/>
            <w:r w:rsidRPr="008D707D">
              <w:rPr>
                <w:rFonts w:ascii="High Tower Text" w:eastAsia="Arial" w:hAnsi="High Tower Text" w:cs="Arial"/>
                <w:color w:val="000000" w:themeColor="text1"/>
                <w:sz w:val="20"/>
                <w:szCs w:val="20"/>
              </w:rPr>
              <w:t>Tanzilli</w:t>
            </w:r>
            <w:proofErr w:type="spellEnd"/>
            <w:r w:rsidRPr="008D707D">
              <w:rPr>
                <w:rFonts w:ascii="High Tower Text" w:eastAsia="Arial" w:hAnsi="High Tower Text" w:cs="Arial"/>
                <w:color w:val="000000" w:themeColor="text1"/>
                <w:sz w:val="20"/>
                <w:szCs w:val="20"/>
              </w:rPr>
              <w:t xml:space="preserve"> G, </w:t>
            </w:r>
            <w:proofErr w:type="spellStart"/>
            <w:r w:rsidRPr="008D707D">
              <w:rPr>
                <w:rFonts w:ascii="High Tower Text" w:eastAsia="Arial" w:hAnsi="High Tower Text" w:cs="Arial"/>
                <w:color w:val="000000" w:themeColor="text1"/>
                <w:sz w:val="20"/>
                <w:szCs w:val="20"/>
              </w:rPr>
              <w:t>Cammisotto</w:t>
            </w:r>
            <w:proofErr w:type="spellEnd"/>
            <w:r w:rsidRPr="008D707D">
              <w:rPr>
                <w:rFonts w:ascii="High Tower Text" w:eastAsia="Arial" w:hAnsi="High Tower Text" w:cs="Arial"/>
                <w:color w:val="000000" w:themeColor="text1"/>
                <w:sz w:val="20"/>
                <w:szCs w:val="20"/>
              </w:rPr>
              <w:t xml:space="preserve"> V, Pilote L, </w:t>
            </w:r>
            <w:proofErr w:type="spellStart"/>
            <w:r w:rsidRPr="008D707D">
              <w:rPr>
                <w:rFonts w:ascii="High Tower Text" w:eastAsia="Arial" w:hAnsi="High Tower Text" w:cs="Arial"/>
                <w:color w:val="000000" w:themeColor="text1"/>
                <w:sz w:val="20"/>
                <w:szCs w:val="20"/>
              </w:rPr>
              <w:t>Cangemi</w:t>
            </w:r>
            <w:proofErr w:type="spellEnd"/>
            <w:r w:rsidRPr="008D707D">
              <w:rPr>
                <w:rFonts w:ascii="High Tower Text" w:eastAsia="Arial" w:hAnsi="High Tower Text" w:cs="Arial"/>
                <w:color w:val="000000" w:themeColor="text1"/>
                <w:sz w:val="20"/>
                <w:szCs w:val="20"/>
              </w:rPr>
              <w:t xml:space="preserve"> R, Basili S, </w:t>
            </w:r>
            <w:proofErr w:type="spellStart"/>
            <w:r w:rsidRPr="008D707D">
              <w:rPr>
                <w:rFonts w:ascii="High Tower Text" w:eastAsia="Arial" w:hAnsi="High Tower Text" w:cs="Arial"/>
                <w:color w:val="000000" w:themeColor="text1"/>
                <w:sz w:val="20"/>
                <w:szCs w:val="20"/>
              </w:rPr>
              <w:t>Carnevale</w:t>
            </w:r>
            <w:proofErr w:type="spellEnd"/>
            <w:r w:rsidRPr="008D707D">
              <w:rPr>
                <w:rFonts w:ascii="High Tower Text" w:eastAsia="Arial" w:hAnsi="High Tower Text" w:cs="Arial"/>
                <w:color w:val="000000" w:themeColor="text1"/>
                <w:sz w:val="20"/>
                <w:szCs w:val="20"/>
              </w:rPr>
              <w:t xml:space="preserve"> R; EVA </w:t>
            </w:r>
            <w:proofErr w:type="spellStart"/>
            <w:r w:rsidRPr="008D707D">
              <w:rPr>
                <w:rFonts w:ascii="High Tower Text" w:eastAsia="Arial" w:hAnsi="High Tower Text" w:cs="Arial"/>
                <w:color w:val="000000" w:themeColor="text1"/>
                <w:sz w:val="20"/>
                <w:szCs w:val="20"/>
              </w:rPr>
              <w:t>Collaborators</w:t>
            </w:r>
            <w:proofErr w:type="spellEnd"/>
          </w:p>
        </w:tc>
        <w:tc>
          <w:tcPr>
            <w:tcW w:w="11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ED4E25" w14:textId="77777777" w:rsidR="008D707D" w:rsidRPr="008D707D" w:rsidRDefault="008D707D" w:rsidP="008D707D">
            <w:pPr>
              <w:pStyle w:val="Normal1"/>
              <w:spacing w:before="120" w:after="12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2025</w:t>
            </w:r>
          </w:p>
        </w:tc>
        <w:tc>
          <w:tcPr>
            <w:tcW w:w="3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2DBD25C" w14:textId="77777777" w:rsidR="008D707D" w:rsidRPr="008D707D" w:rsidRDefault="008D707D" w:rsidP="008D707D">
            <w:pPr>
              <w:pStyle w:val="Normal1"/>
              <w:spacing w:after="0" w:line="240" w:lineRule="auto"/>
              <w:ind w:hanging="2"/>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Associação entre razão testosterona/estradiol, atividade plaquetária e desfechos cardiovasculares; evidência complementar, não específica para usuários de EAA</w:t>
            </w:r>
          </w:p>
        </w:tc>
      </w:tr>
    </w:tbl>
    <w:p w14:paraId="5D110699" w14:textId="77777777" w:rsidR="008D707D" w:rsidRPr="008D707D" w:rsidRDefault="008D707D" w:rsidP="008D707D">
      <w:pPr>
        <w:pStyle w:val="Normal1"/>
        <w:spacing w:before="240" w:after="120" w:line="240" w:lineRule="auto"/>
        <w:ind w:firstLine="0"/>
        <w:rPr>
          <w:rFonts w:ascii="High Tower Text" w:eastAsia="Times New Roman" w:hAnsi="High Tower Text" w:cs="Times New Roman"/>
          <w:color w:val="000000" w:themeColor="text1"/>
          <w:sz w:val="24"/>
          <w:szCs w:val="24"/>
        </w:rPr>
      </w:pPr>
      <w:r w:rsidRPr="008D707D">
        <w:rPr>
          <w:rFonts w:ascii="High Tower Text" w:eastAsia="Times New Roman" w:hAnsi="High Tower Text" w:cs="Times New Roman"/>
          <w:b/>
          <w:bCs/>
          <w:color w:val="000000" w:themeColor="text1"/>
          <w:sz w:val="24"/>
          <w:szCs w:val="24"/>
        </w:rPr>
        <w:t>Fonte:</w:t>
      </w:r>
      <w:r w:rsidRPr="008D707D">
        <w:rPr>
          <w:rFonts w:ascii="High Tower Text" w:eastAsia="Times New Roman" w:hAnsi="High Tower Text" w:cs="Times New Roman"/>
          <w:color w:val="000000" w:themeColor="text1"/>
          <w:sz w:val="24"/>
          <w:szCs w:val="24"/>
        </w:rPr>
        <w:t xml:space="preserve"> </w:t>
      </w:r>
      <w:r w:rsidRPr="008D707D">
        <w:rPr>
          <w:rFonts w:ascii="High Tower Text" w:eastAsia="Arial" w:hAnsi="High Tower Text" w:cs="Arial"/>
          <w:color w:val="000000" w:themeColor="text1"/>
          <w:sz w:val="20"/>
          <w:szCs w:val="20"/>
        </w:rPr>
        <w:t>Elaborado pela autora CARVALHO, Gabrielle, 2026</w:t>
      </w:r>
    </w:p>
    <w:p w14:paraId="71370C59" w14:textId="77777777" w:rsidR="008D707D" w:rsidRPr="008D707D" w:rsidRDefault="008D707D" w:rsidP="008D707D">
      <w:pPr>
        <w:pStyle w:val="Normal1"/>
        <w:pBdr>
          <w:top w:val="nil"/>
          <w:left w:val="nil"/>
          <w:bottom w:val="nil"/>
          <w:right w:val="nil"/>
          <w:between w:val="nil"/>
        </w:pBdr>
        <w:spacing w:after="120"/>
        <w:ind w:firstLine="709"/>
        <w:jc w:val="center"/>
        <w:rPr>
          <w:rFonts w:ascii="High Tower Text" w:eastAsia="Arial" w:hAnsi="High Tower Text" w:cs="Arial"/>
          <w:color w:val="000000" w:themeColor="text1"/>
        </w:rPr>
      </w:pPr>
    </w:p>
    <w:p w14:paraId="67E19A55" w14:textId="77777777" w:rsidR="008D707D" w:rsidRPr="008D707D" w:rsidRDefault="008D707D" w:rsidP="008D707D">
      <w:pPr>
        <w:pStyle w:val="Normal1"/>
        <w:pBdr>
          <w:top w:val="nil"/>
          <w:left w:val="nil"/>
          <w:bottom w:val="nil"/>
          <w:right w:val="nil"/>
          <w:between w:val="nil"/>
        </w:pBdr>
        <w:spacing w:before="100" w:beforeAutospacing="1" w:after="100" w:afterAutospacing="1" w:line="240" w:lineRule="auto"/>
        <w:ind w:firstLine="0"/>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Uso não terapêutico de testosterona e esteroides anabolizantes androgênicos</w:t>
      </w:r>
    </w:p>
    <w:p w14:paraId="54EA8D36"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b/>
          <w:bCs/>
          <w:color w:val="000000" w:themeColor="text1"/>
          <w:sz w:val="24"/>
          <w:szCs w:val="24"/>
        </w:rPr>
      </w:pPr>
    </w:p>
    <w:p w14:paraId="453844C2"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 uso excessivo de esteroides anabolizantes teve seu início há décadas, especialmente no contexto da Guerra Fria, onde os atletas da elite do Leste Europeu buscavam, de forma ilícita, melhorar o desempenho em modalidades esportivas de força. A partir da década de 1980, essa prática expandiu-se para além do foco esportivo, alcançando demais indivíduos da população geral que buscavam por uma melhoria da imagem corporal, sobretudo entre fisiculturistas. Nesse cenário, o acesso a essas substâncias tornou-se progressivamente mais facilitado, sem um </w:t>
      </w:r>
      <w:r w:rsidRPr="008D707D">
        <w:rPr>
          <w:rFonts w:ascii="High Tower Text" w:eastAsia="Arial" w:hAnsi="High Tower Text" w:cs="Arial"/>
          <w:color w:val="000000" w:themeColor="text1"/>
          <w:sz w:val="24"/>
          <w:szCs w:val="24"/>
        </w:rPr>
        <w:lastRenderedPageBreak/>
        <w:t>acompanhamento médico necessário e sem a devida indicação para o seu uso. (</w:t>
      </w:r>
      <w:r w:rsidRPr="008D707D">
        <w:rPr>
          <w:rFonts w:ascii="High Tower Text" w:eastAsia="Arial" w:hAnsi="High Tower Text" w:cs="Arial"/>
          <w:color w:val="000000" w:themeColor="text1"/>
          <w:sz w:val="24"/>
          <w:szCs w:val="24"/>
          <w:highlight w:val="white"/>
        </w:rPr>
        <w:t xml:space="preserve">SHANKARA-NARAYANA,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2020</w:t>
      </w:r>
      <w:r w:rsidRPr="008D707D">
        <w:rPr>
          <w:rFonts w:ascii="High Tower Text" w:eastAsia="Arial" w:hAnsi="High Tower Text" w:cs="Arial"/>
          <w:color w:val="000000" w:themeColor="text1"/>
          <w:sz w:val="24"/>
          <w:szCs w:val="24"/>
        </w:rPr>
        <w:t>).</w:t>
      </w:r>
    </w:p>
    <w:p w14:paraId="1AB28EC9"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A testosterona, por sua vez, é um hormônio fundamental para o corpo humano, sendo responsável, entre outras funções, pelo desenvolvimento dos caracteres sexuais masculinos. Embora o seu uso seja, em essência, indicado para fins médicos e terapêuticos, “em situações de deficiência diagnosticada em homens, quadro clínico denominado hipogonadismo” (SOCIEDADE BRASILEIRA DE ENDOCRINOLOGIA E METABOLOGIA, 2026, p. 1), podendo ser utilizada também em “terapia hormonal cruzada no cuidado à pessoa com incongruência de gênero ou transgênero” (SOCIEDADE BRASILEIRA DE ENDOCRINOLOGIA E METABOLOGIA, 2026, p. 1), ambas reconhecidas na Classificação Internacional de Doenças, tem-se observado nos últimos anos um crescimento preocupante no seu consumo excessivo, especialmente entre jovens e adultos. </w:t>
      </w:r>
    </w:p>
    <w:p w14:paraId="4F1C735C"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Os </w:t>
      </w:r>
      <w:r w:rsidRPr="008D707D">
        <w:rPr>
          <w:rFonts w:ascii="High Tower Text" w:eastAsia="Arial" w:hAnsi="High Tower Text" w:cs="Arial"/>
          <w:i/>
          <w:color w:val="000000" w:themeColor="text1"/>
          <w:sz w:val="24"/>
          <w:szCs w:val="24"/>
        </w:rPr>
        <w:t>esteroide</w:t>
      </w:r>
      <w:r w:rsidRPr="008D707D">
        <w:rPr>
          <w:rFonts w:ascii="High Tower Text" w:eastAsia="Arial" w:hAnsi="High Tower Text" w:cs="Arial"/>
          <w:color w:val="000000" w:themeColor="text1"/>
          <w:sz w:val="24"/>
          <w:szCs w:val="24"/>
        </w:rPr>
        <w:t xml:space="preserve">s anabolizantes androgênicos (EAA) são derivados de modificações na molécula da testosterona, desenvolvidas a fim de potencializar seus efeitos anabólicos, atendendo </w:t>
      </w:r>
      <w:proofErr w:type="gramStart"/>
      <w:r w:rsidRPr="008D707D">
        <w:rPr>
          <w:rFonts w:ascii="High Tower Text" w:eastAsia="Arial" w:hAnsi="High Tower Text" w:cs="Arial"/>
          <w:color w:val="000000" w:themeColor="text1"/>
          <w:sz w:val="24"/>
          <w:szCs w:val="24"/>
        </w:rPr>
        <w:t>a  busca</w:t>
      </w:r>
      <w:proofErr w:type="gramEnd"/>
      <w:r w:rsidRPr="008D707D">
        <w:rPr>
          <w:rFonts w:ascii="High Tower Text" w:eastAsia="Arial" w:hAnsi="High Tower Text" w:cs="Arial"/>
          <w:color w:val="000000" w:themeColor="text1"/>
          <w:sz w:val="24"/>
          <w:szCs w:val="24"/>
        </w:rPr>
        <w:t xml:space="preserve"> por transformações estéticas rápidas ou ganhos de desempenho esportivo (Silva,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2026, p. 3), ou seja, “melhorar a aparência e o condicionamento físico” (SOCIEDADE BRASILEIRA DE ENDOCRINOLOGIA E METABOLOGIA, 2026, p. 1). No entanto, </w:t>
      </w:r>
      <w:proofErr w:type="gramStart"/>
      <w:r w:rsidRPr="008D707D">
        <w:rPr>
          <w:rFonts w:ascii="High Tower Text" w:eastAsia="Arial" w:hAnsi="High Tower Text" w:cs="Arial"/>
          <w:color w:val="000000" w:themeColor="text1"/>
          <w:sz w:val="24"/>
          <w:szCs w:val="24"/>
        </w:rPr>
        <w:t>o  uso</w:t>
      </w:r>
      <w:proofErr w:type="gramEnd"/>
      <w:r w:rsidRPr="008D707D">
        <w:rPr>
          <w:rFonts w:ascii="High Tower Text" w:eastAsia="Arial" w:hAnsi="High Tower Text" w:cs="Arial"/>
          <w:color w:val="000000" w:themeColor="text1"/>
          <w:sz w:val="24"/>
          <w:szCs w:val="24"/>
        </w:rPr>
        <w:t xml:space="preserve"> disseminado de EAA frequentemente envolve a administração de doses </w:t>
      </w:r>
      <w:proofErr w:type="spellStart"/>
      <w:r w:rsidRPr="008D707D">
        <w:rPr>
          <w:rFonts w:ascii="High Tower Text" w:eastAsia="Arial" w:hAnsi="High Tower Text" w:cs="Arial"/>
          <w:color w:val="000000" w:themeColor="text1"/>
          <w:sz w:val="24"/>
          <w:szCs w:val="24"/>
        </w:rPr>
        <w:t>suprafisiológicas</w:t>
      </w:r>
      <w:proofErr w:type="spellEnd"/>
      <w:r w:rsidRPr="008D707D">
        <w:rPr>
          <w:rFonts w:ascii="High Tower Text" w:eastAsia="Arial" w:hAnsi="High Tower Text" w:cs="Arial"/>
          <w:color w:val="000000" w:themeColor="text1"/>
          <w:sz w:val="24"/>
          <w:szCs w:val="24"/>
        </w:rPr>
        <w:t xml:space="preserve">, uma vez que são usadas doses 5-15 vezes maiores que as doses clínicas preconizadas (Sociedade Brasileira de Endocrinologia e Metabologia), sem qualquer acompanhamento profissional adequado (Silva,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2026, p. 3), contrariando as normas estabelecidas pela Agência Nacional de Vigilância Sanitária e do Ministério da Saúde, além de apresentar um risco importante à saúde.  </w:t>
      </w:r>
    </w:p>
    <w:p w14:paraId="11826F0F"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Segundo a Sociedade Brasileira de Endocrinologia e Metabologia, 2026</w:t>
      </w:r>
    </w:p>
    <w:p w14:paraId="0644EB7C" w14:textId="53186998" w:rsidR="008D707D" w:rsidRPr="008D707D" w:rsidRDefault="008D707D" w:rsidP="008D707D">
      <w:pPr>
        <w:pStyle w:val="Normal1"/>
        <w:pBdr>
          <w:top w:val="nil"/>
          <w:left w:val="nil"/>
          <w:bottom w:val="nil"/>
          <w:right w:val="nil"/>
          <w:between w:val="nil"/>
        </w:pBdr>
        <w:spacing w:after="120" w:line="240" w:lineRule="auto"/>
        <w:ind w:left="2268" w:firstLine="0"/>
        <w:jc w:val="both"/>
        <w:rPr>
          <w:rFonts w:ascii="High Tower Text" w:eastAsia="Arial" w:hAnsi="High Tower Text" w:cs="Arial"/>
          <w:color w:val="000000" w:themeColor="text1"/>
          <w:sz w:val="20"/>
          <w:szCs w:val="20"/>
        </w:rPr>
      </w:pPr>
      <w:r w:rsidRPr="008D707D">
        <w:rPr>
          <w:rFonts w:ascii="High Tower Text" w:eastAsia="Arial" w:hAnsi="High Tower Text" w:cs="Arial"/>
          <w:color w:val="000000" w:themeColor="text1"/>
          <w:sz w:val="20"/>
          <w:szCs w:val="20"/>
        </w:rPr>
        <w:t xml:space="preserve"> Tanto a testosterona quanto os EAA têm sido estudados com fins terapêuticos em outras condições clínicas específicas, mas ainda sem comprovação de eficácia e, </w:t>
      </w:r>
      <w:proofErr w:type="gramStart"/>
      <w:r w:rsidRPr="008D707D">
        <w:rPr>
          <w:rFonts w:ascii="High Tower Text" w:eastAsia="Arial" w:hAnsi="High Tower Text" w:cs="Arial"/>
          <w:color w:val="000000" w:themeColor="text1"/>
          <w:sz w:val="20"/>
          <w:szCs w:val="20"/>
        </w:rPr>
        <w:t>especialmente,  trazendo</w:t>
      </w:r>
      <w:proofErr w:type="gramEnd"/>
      <w:r w:rsidRPr="008D707D">
        <w:rPr>
          <w:rFonts w:ascii="High Tower Text" w:eastAsia="Arial" w:hAnsi="High Tower Text" w:cs="Arial"/>
          <w:color w:val="000000" w:themeColor="text1"/>
          <w:sz w:val="20"/>
          <w:szCs w:val="20"/>
        </w:rPr>
        <w:t xml:space="preserve"> inúmeras preocupações dos especialistas com relação à segurança de seu uso no longo prazo. O uso dessas substâncias para fins de ganho de desempenho no esporte amador, para fins estéticos ou como agentes </w:t>
      </w:r>
      <w:proofErr w:type="spellStart"/>
      <w:proofErr w:type="gramStart"/>
      <w:r w:rsidRPr="008D707D">
        <w:rPr>
          <w:rFonts w:ascii="High Tower Text" w:eastAsia="Arial" w:hAnsi="High Tower Text" w:cs="Arial"/>
          <w:color w:val="000000" w:themeColor="text1"/>
          <w:sz w:val="20"/>
          <w:szCs w:val="20"/>
        </w:rPr>
        <w:t>anti-envelhecimento</w:t>
      </w:r>
      <w:proofErr w:type="spellEnd"/>
      <w:proofErr w:type="gramEnd"/>
      <w:r w:rsidRPr="008D707D">
        <w:rPr>
          <w:rFonts w:ascii="High Tower Text" w:eastAsia="Arial" w:hAnsi="High Tower Text" w:cs="Arial"/>
          <w:color w:val="000000" w:themeColor="text1"/>
          <w:sz w:val="20"/>
          <w:szCs w:val="20"/>
        </w:rPr>
        <w:t xml:space="preserve"> é desprovido de qualquer base científica e é acompanhado de riscos bem descritos na literatura, justificando a proibição de seu uso nestes casos pelo Conselho Federal de Medicina através da Resolução no 1999/2012.</w:t>
      </w:r>
    </w:p>
    <w:p w14:paraId="1D0AB3E3"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Nesse contexto, embora o uso não terapêutico por jovens adultos esteja associado frequentemente a finalidades estéticas e desempenho físico, a utilização de </w:t>
      </w:r>
      <w:proofErr w:type="gramStart"/>
      <w:r w:rsidRPr="008D707D">
        <w:rPr>
          <w:rFonts w:ascii="High Tower Text" w:eastAsia="Arial" w:hAnsi="High Tower Text" w:cs="Arial"/>
          <w:color w:val="000000" w:themeColor="text1"/>
          <w:sz w:val="24"/>
          <w:szCs w:val="24"/>
        </w:rPr>
        <w:t>EAA  pode</w:t>
      </w:r>
      <w:proofErr w:type="gramEnd"/>
      <w:r w:rsidRPr="008D707D">
        <w:rPr>
          <w:rFonts w:ascii="High Tower Text" w:eastAsia="Arial" w:hAnsi="High Tower Text" w:cs="Arial"/>
          <w:color w:val="000000" w:themeColor="text1"/>
          <w:sz w:val="24"/>
          <w:szCs w:val="24"/>
        </w:rPr>
        <w:t xml:space="preserve"> acarretar </w:t>
      </w:r>
      <w:proofErr w:type="gramStart"/>
      <w:r w:rsidRPr="008D707D">
        <w:rPr>
          <w:rFonts w:ascii="High Tower Text" w:eastAsia="Arial" w:hAnsi="High Tower Text" w:cs="Arial"/>
          <w:color w:val="000000" w:themeColor="text1"/>
          <w:sz w:val="24"/>
          <w:szCs w:val="24"/>
        </w:rPr>
        <w:t>consequências  relevantes</w:t>
      </w:r>
      <w:proofErr w:type="gramEnd"/>
      <w:r w:rsidRPr="008D707D">
        <w:rPr>
          <w:rFonts w:ascii="High Tower Text" w:eastAsia="Arial" w:hAnsi="High Tower Text" w:cs="Arial"/>
          <w:color w:val="000000" w:themeColor="text1"/>
          <w:sz w:val="24"/>
          <w:szCs w:val="24"/>
        </w:rPr>
        <w:t xml:space="preserve"> à saúde do usuário.</w:t>
      </w:r>
    </w:p>
    <w:p w14:paraId="35E4E2AD" w14:textId="43BD3BDF" w:rsidR="008D707D" w:rsidRPr="008D707D" w:rsidRDefault="008D707D" w:rsidP="008D707D">
      <w:pPr>
        <w:pStyle w:val="Normal1"/>
        <w:spacing w:before="100" w:beforeAutospacing="1" w:after="100" w:afterAutospacing="1" w:line="240" w:lineRule="auto"/>
        <w:ind w:firstLine="0"/>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lastRenderedPageBreak/>
        <w:t>O impacto do uso de hormônios androgênicos e o desenvolvimento da hipertensão arterial</w:t>
      </w:r>
    </w:p>
    <w:p w14:paraId="28D8CCFB"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hipertensão arterial está entre uma das principais manifestações acerca do uso contínuo de </w:t>
      </w:r>
      <w:r w:rsidRPr="008D707D">
        <w:rPr>
          <w:rFonts w:ascii="High Tower Text" w:eastAsia="Arial" w:hAnsi="High Tower Text" w:cs="Arial"/>
          <w:i/>
          <w:color w:val="000000" w:themeColor="text1"/>
          <w:sz w:val="24"/>
          <w:szCs w:val="24"/>
        </w:rPr>
        <w:t>esteroide</w:t>
      </w:r>
      <w:r w:rsidRPr="008D707D">
        <w:rPr>
          <w:rFonts w:ascii="High Tower Text" w:eastAsia="Arial" w:hAnsi="High Tower Text" w:cs="Arial"/>
          <w:color w:val="000000" w:themeColor="text1"/>
          <w:sz w:val="24"/>
          <w:szCs w:val="24"/>
        </w:rPr>
        <w:t>s a longo prazo, sendo um dos achados mais prevalentes em pacientes jovens durante ou após ciclos de esteroide, representando, por muitas vezes, o início de um processo mais complexo que envolve consequências mais graves.</w:t>
      </w:r>
    </w:p>
    <w:p w14:paraId="203C93A0"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 desenvolvimento dessa condição não se atribui a um único mecanismo fisiopatológico, mas sim a fatores diversos que resultam da interação de diferentes sistemas orgânicos que agem de forma concomitante a partir da exposição a doses altas de esteroides exógenos. Ainda que haja a interrupção do consumo desses hormônios, a hipertensão persistente pode potencializar o risco de eventos </w:t>
      </w:r>
      <w:r w:rsidRPr="008D707D">
        <w:rPr>
          <w:rFonts w:ascii="High Tower Text" w:eastAsia="Arial" w:hAnsi="High Tower Text" w:cs="Arial"/>
          <w:color w:val="000000" w:themeColor="text1"/>
          <w:sz w:val="24"/>
          <w:szCs w:val="24"/>
          <w:highlight w:val="white"/>
        </w:rPr>
        <w:t xml:space="preserve">isquêmicos e doença arterial coronariana precoce </w:t>
      </w:r>
      <w:r w:rsidRPr="008D707D">
        <w:rPr>
          <w:rFonts w:ascii="High Tower Text" w:eastAsia="Arial" w:hAnsi="High Tower Text" w:cs="Arial"/>
          <w:color w:val="000000" w:themeColor="text1"/>
          <w:sz w:val="24"/>
          <w:szCs w:val="24"/>
        </w:rPr>
        <w:t>(GURUMURTHY; THACHIL, 2025).</w:t>
      </w:r>
    </w:p>
    <w:p w14:paraId="4EF81DD1"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disfunção endotelial destaca-se como um dos principais e mais importantes mecanismos envolvidos, sendo descrita pela redução da biodisponibilidade do vasodilatador óxido nítrico (NO), comprometendo a função </w:t>
      </w:r>
      <w:proofErr w:type="gramStart"/>
      <w:r w:rsidRPr="008D707D">
        <w:rPr>
          <w:rFonts w:ascii="High Tower Text" w:eastAsia="Arial" w:hAnsi="High Tower Text" w:cs="Arial"/>
          <w:color w:val="000000" w:themeColor="text1"/>
          <w:sz w:val="24"/>
          <w:szCs w:val="24"/>
        </w:rPr>
        <w:t>do mesmo</w:t>
      </w:r>
      <w:proofErr w:type="gramEnd"/>
      <w:r w:rsidRPr="008D707D">
        <w:rPr>
          <w:rFonts w:ascii="High Tower Text" w:eastAsia="Arial" w:hAnsi="High Tower Text" w:cs="Arial"/>
          <w:color w:val="000000" w:themeColor="text1"/>
          <w:sz w:val="24"/>
          <w:szCs w:val="24"/>
        </w:rPr>
        <w:t>. Por outro lado, a ativação do sistema renina-angiotensina-aldosterona (SRAA) induz a vasoconstrição e a retenção de água e sódio, resultando em um aumento da pressão e volume intravascular e em níveis pressóricos elevados. Esse processo, por sua vez, também contribui de forma significativa para o aumento do débito cardíaco, principalmente em resposta ao aumento da resistência vascular causada anteriormente. Além disso, a rigidez arterial e o remodelamento vascular reduzem a complacência dos vasos, efeito potencializado pela expansão volêmica decorrente da retenção de água e sódio. </w:t>
      </w:r>
    </w:p>
    <w:p w14:paraId="1F9CB9B6"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Outro fator relevante é a eritrocitose induzida pelo uso de hormônios exógenos, a qual promove aumento da viscosidade sanguínea, também aumentando a resistência vascular periférica e, dessa forma, comprometendo ainda mais a dinâmica do fluxo sanguíneo. Sendo assim, nota-se uma sobrecarga </w:t>
      </w:r>
      <w:proofErr w:type="gramStart"/>
      <w:r w:rsidRPr="008D707D">
        <w:rPr>
          <w:rFonts w:ascii="High Tower Text" w:eastAsia="Arial" w:hAnsi="High Tower Text" w:cs="Arial"/>
          <w:color w:val="000000" w:themeColor="text1"/>
          <w:sz w:val="24"/>
          <w:szCs w:val="24"/>
        </w:rPr>
        <w:t>hemodinâmica  que</w:t>
      </w:r>
      <w:proofErr w:type="gramEnd"/>
      <w:r w:rsidRPr="008D707D">
        <w:rPr>
          <w:rFonts w:ascii="High Tower Text" w:eastAsia="Arial" w:hAnsi="High Tower Text" w:cs="Arial"/>
          <w:color w:val="000000" w:themeColor="text1"/>
          <w:sz w:val="24"/>
          <w:szCs w:val="24"/>
        </w:rPr>
        <w:t xml:space="preserve"> intensifica a elevação da pressão arterial (SPINDOLA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,2026).</w:t>
      </w:r>
    </w:p>
    <w:p w14:paraId="5A8D4C57"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Em uma determinada pesquisa, foram incluídos inicialmente 51 usuários de esteroides anabolizantes e 21 indivíduos não usuários. Durante o período de acompanhamento, ocorreram 2 óbitos entre os usuários: um devido a um acidente, outro por suicídio. Entretanto, apenas 32 usuários e 13 não usuários aceitaram o acompanhamento. Todos os/as participantes eram praticantes de treinamento de força há anos e envolvidos em esportes competitivos, que </w:t>
      </w:r>
      <w:r w:rsidRPr="008D707D">
        <w:rPr>
          <w:rFonts w:ascii="High Tower Text" w:eastAsia="Arial" w:hAnsi="High Tower Text" w:cs="Arial"/>
          <w:color w:val="000000" w:themeColor="text1"/>
          <w:sz w:val="24"/>
          <w:szCs w:val="24"/>
        </w:rPr>
        <w:lastRenderedPageBreak/>
        <w:t xml:space="preserve">consentiram em participar das investigações voltadas à análise das possíveis alterações da função cardíaca acerca do uso prolongado dessas substâncias. Os indivíduos do grupo relataram uso dos esteroides por um período médio de 5 a 10 anos. Ao longo do estudo, 17 participantes mantiveram o uso, enquanto 10 haviam interrompido o consumo. Entre as drogas mais utilizadas pelos usuários, estão em destaque o hormônio do crescimento, tiroxina, </w:t>
      </w:r>
      <w:proofErr w:type="spellStart"/>
      <w:r w:rsidRPr="008D707D">
        <w:rPr>
          <w:rFonts w:ascii="High Tower Text" w:eastAsia="Arial" w:hAnsi="High Tower Text" w:cs="Arial"/>
          <w:color w:val="000000" w:themeColor="text1"/>
          <w:sz w:val="24"/>
          <w:szCs w:val="24"/>
        </w:rPr>
        <w:t>clembuterol</w:t>
      </w:r>
      <w:proofErr w:type="spellEnd"/>
      <w:r w:rsidRPr="008D707D">
        <w:rPr>
          <w:rFonts w:ascii="High Tower Text" w:eastAsia="Arial" w:hAnsi="High Tower Text" w:cs="Arial"/>
          <w:color w:val="000000" w:themeColor="text1"/>
          <w:sz w:val="24"/>
          <w:szCs w:val="24"/>
        </w:rPr>
        <w:t xml:space="preserve"> e estimulantes do sistema nervoso central, como efedrina, cocaína e anfetamina.</w:t>
      </w:r>
    </w:p>
    <w:p w14:paraId="01CA3E07" w14:textId="0B7074D6"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Na avaliação inicial, nenhum dos participantes apresentavam diagnóstico de hipertensão arterial sistêmica. Entretanto, durante o acompanhamento, 9 participantes (8 usuários e 1 não usuário) estavam em tratamento para a doença. Importa destacar que </w:t>
      </w:r>
      <w:proofErr w:type="gramStart"/>
      <w:r w:rsidRPr="008D707D">
        <w:rPr>
          <w:rFonts w:ascii="High Tower Text" w:eastAsia="Arial" w:hAnsi="High Tower Text" w:cs="Arial"/>
          <w:color w:val="000000" w:themeColor="text1"/>
          <w:sz w:val="24"/>
          <w:szCs w:val="24"/>
        </w:rPr>
        <w:t>os mesmos</w:t>
      </w:r>
      <w:proofErr w:type="gramEnd"/>
      <w:r w:rsidRPr="008D707D">
        <w:rPr>
          <w:rFonts w:ascii="High Tower Text" w:eastAsia="Arial" w:hAnsi="High Tower Text" w:cs="Arial"/>
          <w:color w:val="000000" w:themeColor="text1"/>
          <w:sz w:val="24"/>
          <w:szCs w:val="24"/>
        </w:rPr>
        <w:t xml:space="preserve"> apresentavam níveis pressóricos adequadamente controlados sob regular acompanhamento médico. Observou-se ainda que os participantes que mantiveram o uso de andrógenos apresentaram valores mais elevados da pressão arterial sistólica quando comparados com aqueles que interromperam o uso, sugerindo possível associação entre as alterações hemodinâmicas e o uso contínuo de esteroides. (FYKSEN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2025).</w:t>
      </w:r>
    </w:p>
    <w:p w14:paraId="7436B2D0" w14:textId="0727B330" w:rsidR="008D707D" w:rsidRPr="008D707D" w:rsidRDefault="008D707D" w:rsidP="008D707D">
      <w:pPr>
        <w:pStyle w:val="Normal1"/>
        <w:spacing w:before="100" w:beforeAutospacing="1" w:after="100" w:afterAutospacing="1" w:line="240" w:lineRule="auto"/>
        <w:ind w:firstLine="0"/>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Impacto na dislipidemia e risco aterogênico</w:t>
      </w:r>
    </w:p>
    <w:p w14:paraId="7176D816"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Além da hipertensão arterial, outros mecanismos fisiopatológicos desempenham papel relevante na progressão do desenvolvimento de alterações cardiovasculares associadas ao uso de </w:t>
      </w:r>
      <w:r w:rsidRPr="008D707D">
        <w:rPr>
          <w:rFonts w:ascii="High Tower Text" w:eastAsia="Arial" w:hAnsi="High Tower Text" w:cs="Arial"/>
          <w:i/>
          <w:color w:val="000000" w:themeColor="text1"/>
          <w:sz w:val="24"/>
          <w:szCs w:val="24"/>
        </w:rPr>
        <w:t>est</w:t>
      </w:r>
      <w:r w:rsidRPr="008D707D">
        <w:rPr>
          <w:rFonts w:ascii="High Tower Text" w:eastAsia="Arial" w:hAnsi="High Tower Text" w:cs="Arial"/>
          <w:color w:val="000000" w:themeColor="text1"/>
          <w:sz w:val="24"/>
          <w:szCs w:val="24"/>
        </w:rPr>
        <w:t>e</w:t>
      </w:r>
      <w:r w:rsidRPr="008D707D">
        <w:rPr>
          <w:rFonts w:ascii="High Tower Text" w:eastAsia="Arial" w:hAnsi="High Tower Text" w:cs="Arial"/>
          <w:i/>
          <w:color w:val="000000" w:themeColor="text1"/>
          <w:sz w:val="24"/>
          <w:szCs w:val="24"/>
        </w:rPr>
        <w:t>roide</w:t>
      </w:r>
      <w:r w:rsidRPr="008D707D">
        <w:rPr>
          <w:rFonts w:ascii="High Tower Text" w:eastAsia="Arial" w:hAnsi="High Tower Text" w:cs="Arial"/>
          <w:color w:val="000000" w:themeColor="text1"/>
          <w:sz w:val="24"/>
          <w:szCs w:val="24"/>
        </w:rPr>
        <w:t xml:space="preserve">s. A dislipidemia, por sua vez, é caracterizada pela elevação das concentrações da lipoproteína de baixa densidade (LDL) e a redução da lipoproteína de alta densidade (HDL). Esse desequilíbrio lipídico colabora com o depósito de colesterol na parede arterial, acelerando o processo da aterosclerose precoce e o aumento expressivo do risco de eventos cardiovasculares, mesmo em adultos jovens ou atletas aparentemente saudáveis. </w:t>
      </w:r>
      <w:proofErr w:type="gramStart"/>
      <w:r w:rsidRPr="008D707D">
        <w:rPr>
          <w:rFonts w:ascii="High Tower Text" w:eastAsia="Arial" w:hAnsi="High Tower Text" w:cs="Arial"/>
          <w:color w:val="000000" w:themeColor="text1"/>
          <w:sz w:val="24"/>
          <w:szCs w:val="24"/>
        </w:rPr>
        <w:t>( KOTSIFAS</w:t>
      </w:r>
      <w:proofErr w:type="gramEnd"/>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2026).</w:t>
      </w:r>
    </w:p>
    <w:p w14:paraId="774CAE03"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Em concentrações fisiológicas, a testosterona não parece exercer efeitos negativos relevantes sobre o perfil lipídico. </w:t>
      </w:r>
      <w:proofErr w:type="gramStart"/>
      <w:r w:rsidRPr="008D707D">
        <w:rPr>
          <w:rFonts w:ascii="High Tower Text" w:eastAsia="Arial" w:hAnsi="High Tower Text" w:cs="Arial"/>
          <w:color w:val="000000" w:themeColor="text1"/>
          <w:sz w:val="24"/>
          <w:szCs w:val="24"/>
        </w:rPr>
        <w:t>Entretanto,  quando</w:t>
      </w:r>
      <w:proofErr w:type="gramEnd"/>
      <w:r w:rsidRPr="008D707D">
        <w:rPr>
          <w:rFonts w:ascii="High Tower Text" w:eastAsia="Arial" w:hAnsi="High Tower Text" w:cs="Arial"/>
          <w:color w:val="000000" w:themeColor="text1"/>
          <w:sz w:val="24"/>
          <w:szCs w:val="24"/>
        </w:rPr>
        <w:t xml:space="preserve"> administrada em doses </w:t>
      </w:r>
      <w:proofErr w:type="spellStart"/>
      <w:r w:rsidRPr="008D707D">
        <w:rPr>
          <w:rFonts w:ascii="High Tower Text" w:eastAsia="Arial" w:hAnsi="High Tower Text" w:cs="Arial"/>
          <w:color w:val="000000" w:themeColor="text1"/>
          <w:sz w:val="24"/>
          <w:szCs w:val="24"/>
        </w:rPr>
        <w:t>suprafisiológicas</w:t>
      </w:r>
      <w:proofErr w:type="spellEnd"/>
      <w:r w:rsidRPr="008D707D">
        <w:rPr>
          <w:rFonts w:ascii="High Tower Text" w:eastAsia="Arial" w:hAnsi="High Tower Text" w:cs="Arial"/>
          <w:color w:val="000000" w:themeColor="text1"/>
          <w:sz w:val="24"/>
          <w:szCs w:val="24"/>
        </w:rPr>
        <w:t xml:space="preserve">, pode provocar mudanças desfavoráveis ao metabolismo lipídico. Entre as diferentes formulações, a administração oral de 17-alfa-alquilado está associada à maior impacto sobre os níveis de colesterol em comparação às formulações intramusculares (ALBANO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2021).</w:t>
      </w:r>
    </w:p>
    <w:p w14:paraId="53BCAA31"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De acordo com uma pesquisa do Instituto do Coração (Incor) do Hospital das Clínicas da Faculdade de Medicina da USP (FMUSP), foi evidenciado que um a cada quatro usuários de EAA apresentou sinais de aterosclerose precoce. Esse achado reforça a associação entre o uso indiscriminado de hormônios exógenos e o impacto sobre o perfil metabólico, principalmente </w:t>
      </w:r>
      <w:r w:rsidRPr="008D707D">
        <w:rPr>
          <w:rFonts w:ascii="High Tower Text" w:eastAsia="Arial" w:hAnsi="High Tower Text" w:cs="Arial"/>
          <w:color w:val="000000" w:themeColor="text1"/>
          <w:sz w:val="24"/>
          <w:szCs w:val="24"/>
        </w:rPr>
        <w:lastRenderedPageBreak/>
        <w:t xml:space="preserve">em relação ao colesterol HDL. Segundo o estudo, o HDL, mais conhecido como “colesterol bom”, é um dos responsáveis por evitar o acúmulo do LDL ou “colesterol ruim” nas artérias coronárias, contribuindo também na filtração das gorduras do sangue e na redução da oxidação do LDL nas artérias, exercendo função protetora. Quando oxidado, o LDL adquire maior potencial aterogênico e inflamatório, favorecendo a resposta inflamatória e a progressão para a formação da aterosclerose. </w:t>
      </w:r>
    </w:p>
    <w:p w14:paraId="07D9F272"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Foi observado, também, alterações de funcionalidade nos receptores envolvidos no metabolismo do “colesterol bom” entre os usuários de anabolizantes, comprometendo o reconhecimento e a remoção dessas lipoproteínas da circulação. Dessa forma, nota-se que a qualidade quantitativa e funcional do HDL é de extrema importância em relação ao favorecimento de um desenvolvimento e progressão da doença aterosclerótica. (LOPES, 2017).</w:t>
      </w:r>
    </w:p>
    <w:p w14:paraId="4F36AE52"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Estudos populacionais de grande porte demonstraram aumento significativo da incidência de infarto agudo do miocárdio, tromboembolismo venoso, cardiomiopatia e </w:t>
      </w:r>
      <w:proofErr w:type="gramStart"/>
      <w:r w:rsidRPr="008D707D">
        <w:rPr>
          <w:rFonts w:ascii="High Tower Text" w:eastAsia="Arial" w:hAnsi="High Tower Text" w:cs="Arial"/>
          <w:color w:val="000000" w:themeColor="text1"/>
          <w:sz w:val="24"/>
          <w:szCs w:val="24"/>
        </w:rPr>
        <w:t>insuficiência  cardíaca</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em  usuários</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de  EAA,  mesmo</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em  indivíduos</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jovens  e</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fisicamente  ativos,  com</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impacto  direto</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na  mortalidade</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cardiovascular  (</w:t>
      </w:r>
      <w:proofErr w:type="gramEnd"/>
      <w:r w:rsidRPr="008D707D">
        <w:rPr>
          <w:rFonts w:ascii="High Tower Text" w:eastAsia="Arial" w:hAnsi="High Tower Text" w:cs="Arial"/>
          <w:color w:val="000000" w:themeColor="text1"/>
          <w:sz w:val="24"/>
          <w:szCs w:val="24"/>
        </w:rPr>
        <w:t>WINDFELD-</w:t>
      </w:r>
      <w:proofErr w:type="gramStart"/>
      <w:r w:rsidRPr="008D707D">
        <w:rPr>
          <w:rFonts w:ascii="High Tower Text" w:eastAsia="Arial" w:hAnsi="High Tower Text" w:cs="Arial"/>
          <w:color w:val="000000" w:themeColor="text1"/>
          <w:sz w:val="24"/>
          <w:szCs w:val="24"/>
        </w:rPr>
        <w:t>MATHIASE  et</w:t>
      </w:r>
      <w:proofErr w:type="gramEnd"/>
      <w:r w:rsidRPr="008D707D">
        <w:rPr>
          <w:rFonts w:ascii="High Tower Text" w:eastAsia="Arial" w:hAnsi="High Tower Text" w:cs="Arial"/>
          <w:color w:val="000000" w:themeColor="text1"/>
          <w:sz w:val="24"/>
          <w:szCs w:val="24"/>
        </w:rPr>
        <w:t>  al.</w:t>
      </w:r>
      <w:proofErr w:type="gramStart"/>
      <w:r w:rsidRPr="008D707D">
        <w:rPr>
          <w:rFonts w:ascii="High Tower Text" w:eastAsia="Arial" w:hAnsi="High Tower Text" w:cs="Arial"/>
          <w:color w:val="000000" w:themeColor="text1"/>
          <w:sz w:val="24"/>
          <w:szCs w:val="24"/>
        </w:rPr>
        <w:t>,  2025</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Revisões  e</w:t>
      </w:r>
      <w:proofErr w:type="gramEnd"/>
      <w:r w:rsidRPr="008D707D">
        <w:rPr>
          <w:rFonts w:ascii="High Tower Text" w:eastAsia="Arial" w:hAnsi="High Tower Text" w:cs="Arial"/>
          <w:color w:val="000000" w:themeColor="text1"/>
          <w:sz w:val="24"/>
          <w:szCs w:val="24"/>
        </w:rPr>
        <w:t>  meta-</w:t>
      </w:r>
      <w:proofErr w:type="gramStart"/>
      <w:r w:rsidRPr="008D707D">
        <w:rPr>
          <w:rFonts w:ascii="High Tower Text" w:eastAsia="Arial" w:hAnsi="High Tower Text" w:cs="Arial"/>
          <w:color w:val="000000" w:themeColor="text1"/>
          <w:sz w:val="24"/>
          <w:szCs w:val="24"/>
        </w:rPr>
        <w:t>análises  indicam</w:t>
      </w:r>
      <w:proofErr w:type="gramEnd"/>
      <w:r w:rsidRPr="008D707D">
        <w:rPr>
          <w:rFonts w:ascii="High Tower Text" w:eastAsia="Arial" w:hAnsi="High Tower Text" w:cs="Arial"/>
          <w:color w:val="000000" w:themeColor="text1"/>
          <w:sz w:val="24"/>
          <w:szCs w:val="24"/>
        </w:rPr>
        <w:t xml:space="preserve">  </w:t>
      </w:r>
      <w:proofErr w:type="gramStart"/>
      <w:r w:rsidRPr="008D707D">
        <w:rPr>
          <w:rFonts w:ascii="High Tower Text" w:eastAsia="Arial" w:hAnsi="High Tower Text" w:cs="Arial"/>
          <w:color w:val="000000" w:themeColor="text1"/>
          <w:sz w:val="24"/>
          <w:szCs w:val="24"/>
        </w:rPr>
        <w:t>ainda  que</w:t>
      </w:r>
      <w:proofErr w:type="gramEnd"/>
      <w:r w:rsidRPr="008D707D">
        <w:rPr>
          <w:rFonts w:ascii="High Tower Text" w:eastAsia="Arial" w:hAnsi="High Tower Text" w:cs="Arial"/>
          <w:color w:val="000000" w:themeColor="text1"/>
          <w:sz w:val="24"/>
          <w:szCs w:val="24"/>
        </w:rPr>
        <w:t xml:space="preserve">  extremos hormonais, induzidos pelo uso exógeno de hormônios, estão associados a maior risco de mortalidade por todas as causas e por doenças cardiovasculares (YEAP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,2024).</w:t>
      </w:r>
    </w:p>
    <w:p w14:paraId="76BDBDAE" w14:textId="45DBB8AB" w:rsidR="008D707D" w:rsidRPr="008D707D" w:rsidRDefault="008D707D" w:rsidP="008D707D">
      <w:pPr>
        <w:pStyle w:val="Normal1"/>
        <w:pBdr>
          <w:top w:val="nil"/>
          <w:left w:val="nil"/>
          <w:bottom w:val="nil"/>
          <w:right w:val="nil"/>
          <w:between w:val="nil"/>
        </w:pBdr>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Influência da idade e do sexo nas repercussões cardiovasculares do uso de anabolizantes</w:t>
      </w:r>
    </w:p>
    <w:p w14:paraId="6822C554"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Entre os achados da presente pesquisa, destaca-se alguns resultados que contribuem para a compreensão do contexto fisiopatológico, contudo, evidência direta dos efeitos do abuso de esteroides anabolizantes androgênicos (EAA). Nesse contexto, entre as diferentes manifestações de doenças cardíacas, a doença isquêmica do coração (DIC) destaca-se prevalente tanto em homens quanto mulheres, configurando-se como uma das principais causas de mortalidade no mundo (</w:t>
      </w:r>
      <w:r w:rsidRPr="008D707D">
        <w:rPr>
          <w:rFonts w:ascii="High Tower Text" w:eastAsia="Arial" w:hAnsi="High Tower Text" w:cs="Arial"/>
          <w:color w:val="000000" w:themeColor="text1"/>
          <w:sz w:val="24"/>
          <w:szCs w:val="24"/>
          <w:highlight w:val="white"/>
        </w:rPr>
        <w:t xml:space="preserve">VOGEL B,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2021</w:t>
      </w:r>
      <w:r w:rsidRPr="008D707D">
        <w:rPr>
          <w:rFonts w:ascii="High Tower Text" w:eastAsia="Arial" w:hAnsi="High Tower Text" w:cs="Arial"/>
          <w:color w:val="000000" w:themeColor="text1"/>
          <w:sz w:val="24"/>
          <w:szCs w:val="24"/>
        </w:rPr>
        <w:t xml:space="preserve">). </w:t>
      </w:r>
    </w:p>
    <w:p w14:paraId="18F910F1"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 papel dos hormônios exógenos revela-se complexo no que tange ao seu impacto sobre a saúde vascular, uma vez que exerce diferentes efeitos de acordo com cada sexo. Nos homens, níveis elevados de testosterona exógena, bem como o aumento do LH (hormônio luteinizante) e do SHBG (globulina </w:t>
      </w:r>
      <w:proofErr w:type="spellStart"/>
      <w:r w:rsidRPr="008D707D">
        <w:rPr>
          <w:rFonts w:ascii="High Tower Text" w:eastAsia="Arial" w:hAnsi="High Tower Text" w:cs="Arial"/>
          <w:color w:val="000000" w:themeColor="text1"/>
          <w:sz w:val="24"/>
          <w:szCs w:val="24"/>
        </w:rPr>
        <w:t>ligadora</w:t>
      </w:r>
      <w:proofErr w:type="spellEnd"/>
      <w:r w:rsidRPr="008D707D">
        <w:rPr>
          <w:rFonts w:ascii="High Tower Text" w:eastAsia="Arial" w:hAnsi="High Tower Text" w:cs="Arial"/>
          <w:color w:val="000000" w:themeColor="text1"/>
          <w:sz w:val="24"/>
          <w:szCs w:val="24"/>
        </w:rPr>
        <w:t xml:space="preserve"> de hormônios sexuais), foram associadas a redução de eventos cardiovasculares (</w:t>
      </w:r>
      <w:proofErr w:type="spellStart"/>
      <w:r w:rsidRPr="008D707D">
        <w:rPr>
          <w:rFonts w:ascii="High Tower Text" w:eastAsia="Arial" w:hAnsi="High Tower Text" w:cs="Arial"/>
          <w:color w:val="000000" w:themeColor="text1"/>
          <w:sz w:val="24"/>
          <w:szCs w:val="24"/>
        </w:rPr>
        <w:t>Boardman</w:t>
      </w:r>
      <w:proofErr w:type="spellEnd"/>
      <w:r w:rsidRPr="008D707D">
        <w:rPr>
          <w:rFonts w:ascii="High Tower Text" w:eastAsia="Arial" w:hAnsi="High Tower Text" w:cs="Arial"/>
          <w:color w:val="000000" w:themeColor="text1"/>
          <w:sz w:val="24"/>
          <w:szCs w:val="24"/>
        </w:rPr>
        <w:t xml:space="preserve"> HMP, Hartley L, </w:t>
      </w:r>
      <w:proofErr w:type="spellStart"/>
      <w:r w:rsidRPr="008D707D">
        <w:rPr>
          <w:rFonts w:ascii="High Tower Text" w:eastAsia="Arial" w:hAnsi="High Tower Text" w:cs="Arial"/>
          <w:color w:val="000000" w:themeColor="text1"/>
          <w:sz w:val="24"/>
          <w:szCs w:val="24"/>
        </w:rPr>
        <w:t>Eisinga</w:t>
      </w:r>
      <w:proofErr w:type="spellEnd"/>
      <w:r w:rsidRPr="008D707D">
        <w:rPr>
          <w:rFonts w:ascii="High Tower Text" w:eastAsia="Arial" w:hAnsi="High Tower Text" w:cs="Arial"/>
          <w:color w:val="000000" w:themeColor="text1"/>
          <w:sz w:val="24"/>
          <w:szCs w:val="24"/>
        </w:rPr>
        <w:t xml:space="preserve"> A. apud </w:t>
      </w:r>
      <w:proofErr w:type="spellStart"/>
      <w:r w:rsidRPr="008D707D">
        <w:rPr>
          <w:rFonts w:ascii="High Tower Text" w:eastAsia="Arial" w:hAnsi="High Tower Text" w:cs="Arial"/>
          <w:color w:val="000000" w:themeColor="text1"/>
          <w:sz w:val="24"/>
          <w:szCs w:val="24"/>
        </w:rPr>
        <w:t>Raparelli</w:t>
      </w:r>
      <w:proofErr w:type="spellEnd"/>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2022). Em contrapartida, em mulheres, evidências indicam que altos níveis de estrogênio exercem efeito </w:t>
      </w:r>
      <w:r w:rsidRPr="008D707D">
        <w:rPr>
          <w:rFonts w:ascii="High Tower Text" w:eastAsia="Arial" w:hAnsi="High Tower Text" w:cs="Arial"/>
          <w:color w:val="000000" w:themeColor="text1"/>
          <w:sz w:val="24"/>
          <w:szCs w:val="24"/>
        </w:rPr>
        <w:lastRenderedPageBreak/>
        <w:t xml:space="preserve">protetor no quesito de progressão e desenvolvimento da DIC (Doença Isquêmica Cardíaca), enquanto concentrações elevadas do hormônio folículo-estimulante (FSH) estão </w:t>
      </w:r>
      <w:proofErr w:type="gramStart"/>
      <w:r w:rsidRPr="008D707D">
        <w:rPr>
          <w:rFonts w:ascii="High Tower Text" w:eastAsia="Arial" w:hAnsi="High Tower Text" w:cs="Arial"/>
          <w:color w:val="000000" w:themeColor="text1"/>
          <w:sz w:val="24"/>
          <w:szCs w:val="24"/>
        </w:rPr>
        <w:t>relacionados</w:t>
      </w:r>
      <w:proofErr w:type="gramEnd"/>
      <w:r w:rsidRPr="008D707D">
        <w:rPr>
          <w:rFonts w:ascii="High Tower Text" w:eastAsia="Arial" w:hAnsi="High Tower Text" w:cs="Arial"/>
          <w:color w:val="000000" w:themeColor="text1"/>
          <w:sz w:val="24"/>
          <w:szCs w:val="24"/>
        </w:rPr>
        <w:t xml:space="preserve"> a um risco maior de eventos isquêmicos. (WANG </w:t>
      </w:r>
      <w:proofErr w:type="gramStart"/>
      <w:r w:rsidRPr="008D707D">
        <w:rPr>
          <w:rFonts w:ascii="High Tower Text" w:eastAsia="Arial" w:hAnsi="High Tower Text" w:cs="Arial"/>
          <w:color w:val="000000" w:themeColor="text1"/>
          <w:sz w:val="24"/>
          <w:szCs w:val="24"/>
        </w:rPr>
        <w:t xml:space="preserve">N  </w:t>
      </w:r>
      <w:r w:rsidRPr="008D707D">
        <w:rPr>
          <w:rFonts w:ascii="High Tower Text" w:eastAsia="Arial" w:hAnsi="High Tower Text" w:cs="Arial"/>
          <w:i/>
          <w:color w:val="000000" w:themeColor="text1"/>
          <w:sz w:val="24"/>
          <w:szCs w:val="24"/>
        </w:rPr>
        <w:t>et</w:t>
      </w:r>
      <w:proofErr w:type="gramEnd"/>
      <w:r w:rsidRPr="008D707D">
        <w:rPr>
          <w:rFonts w:ascii="High Tower Text" w:eastAsia="Arial" w:hAnsi="High Tower Text" w:cs="Arial"/>
          <w:i/>
          <w:color w:val="000000" w:themeColor="text1"/>
          <w:sz w:val="24"/>
          <w:szCs w:val="24"/>
        </w:rPr>
        <w:t xml:space="preserve"> al.</w:t>
      </w:r>
      <w:r w:rsidRPr="008D707D">
        <w:rPr>
          <w:rFonts w:ascii="High Tower Text" w:eastAsia="Arial" w:hAnsi="High Tower Text" w:cs="Arial"/>
          <w:color w:val="000000" w:themeColor="text1"/>
          <w:sz w:val="24"/>
          <w:szCs w:val="24"/>
        </w:rPr>
        <w:t xml:space="preserve">, apud RAPARELLI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2017). </w:t>
      </w:r>
    </w:p>
    <w:p w14:paraId="260BB6D5"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highlight w:val="white"/>
        </w:rPr>
      </w:pPr>
      <w:r w:rsidRPr="008D707D">
        <w:rPr>
          <w:rFonts w:ascii="High Tower Text" w:eastAsia="Arial" w:hAnsi="High Tower Text" w:cs="Arial"/>
          <w:color w:val="000000" w:themeColor="text1"/>
          <w:sz w:val="24"/>
          <w:szCs w:val="24"/>
        </w:rPr>
        <w:t>Pesquisas demonstram, de forma mais específica, que uma maior razão entre testosterona e estrogênio (incluindo o 17</w:t>
      </w:r>
      <w:r w:rsidRPr="008D707D">
        <w:rPr>
          <w:rFonts w:ascii="Cambria" w:eastAsia="Arial" w:hAnsi="Cambria" w:cs="Cambria"/>
          <w:color w:val="000000" w:themeColor="text1"/>
          <w:sz w:val="24"/>
          <w:szCs w:val="24"/>
        </w:rPr>
        <w:t>β</w:t>
      </w:r>
      <w:r w:rsidRPr="008D707D">
        <w:rPr>
          <w:rFonts w:ascii="High Tower Text" w:eastAsia="Arial" w:hAnsi="High Tower Text" w:cs="Arial"/>
          <w:color w:val="000000" w:themeColor="text1"/>
          <w:sz w:val="24"/>
          <w:szCs w:val="24"/>
        </w:rPr>
        <w:t xml:space="preserve">-estradiol, E2) está associada a piores desfechos cardiovasculares em mulheres na pós menopausa. Em contrapartida, observou-se que nos homens uma menor razão entre </w:t>
      </w:r>
      <w:proofErr w:type="gramStart"/>
      <w:r w:rsidRPr="008D707D">
        <w:rPr>
          <w:rFonts w:ascii="High Tower Text" w:eastAsia="Arial" w:hAnsi="High Tower Text" w:cs="Arial"/>
          <w:color w:val="000000" w:themeColor="text1"/>
          <w:sz w:val="24"/>
          <w:szCs w:val="24"/>
        </w:rPr>
        <w:t>esses  hormônios</w:t>
      </w:r>
      <w:proofErr w:type="gramEnd"/>
      <w:r w:rsidRPr="008D707D">
        <w:rPr>
          <w:rFonts w:ascii="High Tower Text" w:eastAsia="Arial" w:hAnsi="High Tower Text" w:cs="Arial"/>
          <w:color w:val="000000" w:themeColor="text1"/>
          <w:sz w:val="24"/>
          <w:szCs w:val="24"/>
        </w:rPr>
        <w:t xml:space="preserve"> tem sido relacionada ao aumento de processos inflamatórios sistêmicos, inclusive nas próprias placas, podendo contribuir de forma significativa na ocorrência de eventos trombóticos futuros. (</w:t>
      </w:r>
      <w:r w:rsidRPr="008D707D">
        <w:rPr>
          <w:rFonts w:ascii="High Tower Text" w:eastAsia="Arial" w:hAnsi="High Tower Text" w:cs="Arial"/>
          <w:color w:val="000000" w:themeColor="text1"/>
          <w:sz w:val="24"/>
          <w:szCs w:val="24"/>
          <w:highlight w:val="white"/>
        </w:rPr>
        <w:t xml:space="preserve">ZHAO D,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2018).</w:t>
      </w:r>
    </w:p>
    <w:p w14:paraId="2A71D595"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highlight w:val="white"/>
        </w:rPr>
        <w:t xml:space="preserve">Apesar das evidências já consolidadas sobre os efeitos provocados pelo uso de substâncias descritas acima, ainda há estudos que buscam compreender melhor seus efeitos em cada faixa etária. Em idosos, por exemplo, o estudo prospectivo </w:t>
      </w:r>
      <w:proofErr w:type="spellStart"/>
      <w:r w:rsidRPr="008D707D">
        <w:rPr>
          <w:rFonts w:ascii="High Tower Text" w:eastAsia="Arial" w:hAnsi="High Tower Text" w:cs="Arial"/>
          <w:color w:val="000000" w:themeColor="text1"/>
          <w:sz w:val="24"/>
          <w:szCs w:val="24"/>
          <w:highlight w:val="white"/>
        </w:rPr>
        <w:t>MrOS</w:t>
      </w:r>
      <w:proofErr w:type="spellEnd"/>
      <w:r w:rsidRPr="008D707D">
        <w:rPr>
          <w:rFonts w:ascii="High Tower Text" w:eastAsia="Arial" w:hAnsi="High Tower Text" w:cs="Arial"/>
          <w:color w:val="000000" w:themeColor="text1"/>
          <w:sz w:val="24"/>
          <w:szCs w:val="24"/>
          <w:highlight w:val="white"/>
        </w:rPr>
        <w:t xml:space="preserve"> (</w:t>
      </w:r>
      <w:proofErr w:type="spellStart"/>
      <w:r w:rsidRPr="008D707D">
        <w:rPr>
          <w:rFonts w:ascii="High Tower Text" w:eastAsia="Arial" w:hAnsi="High Tower Text" w:cs="Arial"/>
          <w:color w:val="000000" w:themeColor="text1"/>
          <w:sz w:val="24"/>
          <w:szCs w:val="24"/>
        </w:rPr>
        <w:t>the</w:t>
      </w:r>
      <w:proofErr w:type="spellEnd"/>
      <w:r w:rsidRPr="008D707D">
        <w:rPr>
          <w:rFonts w:ascii="High Tower Text" w:eastAsia="Arial" w:hAnsi="High Tower Text" w:cs="Arial"/>
          <w:color w:val="000000" w:themeColor="text1"/>
          <w:sz w:val="24"/>
          <w:szCs w:val="24"/>
        </w:rPr>
        <w:t xml:space="preserve"> </w:t>
      </w:r>
      <w:proofErr w:type="spellStart"/>
      <w:r w:rsidRPr="008D707D">
        <w:rPr>
          <w:rFonts w:ascii="High Tower Text" w:eastAsia="Arial" w:hAnsi="High Tower Text" w:cs="Arial"/>
          <w:color w:val="000000" w:themeColor="text1"/>
          <w:sz w:val="24"/>
          <w:szCs w:val="24"/>
        </w:rPr>
        <w:t>Osteoporotic</w:t>
      </w:r>
      <w:proofErr w:type="spellEnd"/>
      <w:r w:rsidRPr="008D707D">
        <w:rPr>
          <w:rFonts w:ascii="High Tower Text" w:eastAsia="Arial" w:hAnsi="High Tower Text" w:cs="Arial"/>
          <w:color w:val="000000" w:themeColor="text1"/>
          <w:sz w:val="24"/>
          <w:szCs w:val="24"/>
        </w:rPr>
        <w:t xml:space="preserve"> </w:t>
      </w:r>
      <w:proofErr w:type="spellStart"/>
      <w:r w:rsidRPr="008D707D">
        <w:rPr>
          <w:rFonts w:ascii="High Tower Text" w:eastAsia="Arial" w:hAnsi="High Tower Text" w:cs="Arial"/>
          <w:color w:val="000000" w:themeColor="text1"/>
          <w:sz w:val="24"/>
          <w:szCs w:val="24"/>
        </w:rPr>
        <w:t>Fractures</w:t>
      </w:r>
      <w:proofErr w:type="spellEnd"/>
      <w:r w:rsidRPr="008D707D">
        <w:rPr>
          <w:rFonts w:ascii="High Tower Text" w:eastAsia="Arial" w:hAnsi="High Tower Text" w:cs="Arial"/>
          <w:color w:val="000000" w:themeColor="text1"/>
          <w:sz w:val="24"/>
          <w:szCs w:val="24"/>
        </w:rPr>
        <w:t xml:space="preserve"> in </w:t>
      </w:r>
      <w:proofErr w:type="spellStart"/>
      <w:r w:rsidRPr="008D707D">
        <w:rPr>
          <w:rFonts w:ascii="High Tower Text" w:eastAsia="Arial" w:hAnsi="High Tower Text" w:cs="Arial"/>
          <w:color w:val="000000" w:themeColor="text1"/>
          <w:sz w:val="24"/>
          <w:szCs w:val="24"/>
        </w:rPr>
        <w:t>Men</w:t>
      </w:r>
      <w:proofErr w:type="spellEnd"/>
      <w:r w:rsidRPr="008D707D">
        <w:rPr>
          <w:rFonts w:ascii="High Tower Text" w:eastAsia="Arial" w:hAnsi="High Tower Text" w:cs="Arial"/>
          <w:color w:val="000000" w:themeColor="text1"/>
          <w:sz w:val="24"/>
          <w:szCs w:val="24"/>
          <w:highlight w:val="white"/>
        </w:rPr>
        <w:t xml:space="preserve">), que envolveu 552 pacientes masculinos, demonstrou não haver uma associação absoluta entre os níveis hormonais e o risco de eventos cardíacos (Collet TH,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xml:space="preserve">, </w:t>
      </w:r>
      <w:proofErr w:type="gramStart"/>
      <w:r w:rsidRPr="008D707D">
        <w:rPr>
          <w:rFonts w:ascii="High Tower Text" w:eastAsia="Arial" w:hAnsi="High Tower Text" w:cs="Arial"/>
          <w:color w:val="000000" w:themeColor="text1"/>
          <w:sz w:val="24"/>
          <w:szCs w:val="24"/>
          <w:highlight w:val="white"/>
        </w:rPr>
        <w:t>2020 )</w:t>
      </w:r>
      <w:proofErr w:type="gramEnd"/>
      <w:r w:rsidRPr="008D707D">
        <w:rPr>
          <w:rFonts w:ascii="High Tower Text" w:eastAsia="Arial" w:hAnsi="High Tower Text" w:cs="Arial"/>
          <w:color w:val="000000" w:themeColor="text1"/>
          <w:sz w:val="24"/>
          <w:szCs w:val="24"/>
          <w:highlight w:val="white"/>
        </w:rPr>
        <w:t xml:space="preserve">. Por outro lado, em estudos que incluíram pacientes mais jovens, de ambos os sexos, foi identificado que percentis maiores de testosterona e estrogênio estão associados a uma maior incidência de eventos isquêmicos, elevando o risco de morte entre </w:t>
      </w:r>
      <w:proofErr w:type="gramStart"/>
      <w:r w:rsidRPr="008D707D">
        <w:rPr>
          <w:rFonts w:ascii="High Tower Text" w:eastAsia="Arial" w:hAnsi="High Tower Text" w:cs="Arial"/>
          <w:color w:val="000000" w:themeColor="text1"/>
          <w:sz w:val="24"/>
          <w:szCs w:val="24"/>
          <w:highlight w:val="white"/>
        </w:rPr>
        <w:t>os mesmos</w:t>
      </w:r>
      <w:proofErr w:type="gramEnd"/>
      <w:r w:rsidRPr="008D707D">
        <w:rPr>
          <w:rFonts w:ascii="High Tower Text" w:eastAsia="Arial" w:hAnsi="High Tower Text" w:cs="Arial"/>
          <w:color w:val="000000" w:themeColor="text1"/>
          <w:sz w:val="24"/>
          <w:szCs w:val="24"/>
          <w:highlight w:val="white"/>
        </w:rPr>
        <w:t xml:space="preserve">. (RAPARELLI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2022).</w:t>
      </w:r>
    </w:p>
    <w:p w14:paraId="6C1B848D"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Dessa forma, torna-se cada vez mais importante o aprofundamento sobre o tema, considerando que os efeitos do uso exógeno de hormônios sexuais variam consideravelmente entre as faixas etárias, reforçando a necessidade de abordagens mais individualizadas na prática clínica.</w:t>
      </w:r>
    </w:p>
    <w:p w14:paraId="76B903BD" w14:textId="77777777" w:rsid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Diante desse cenário, faz-se necessário a compreensão dos mecanismos iniciais pelos quais esses hormônios afetam o organismo. Dentre as diversas causas que podem elevar o risco cardiovascular de um paciente, destacam-se os baixos níveis de colesterol de lipoproteína de alta densidade (HDL), que são de extrema importância cujo valor e função possuem relevante importância prognóstica (Gordon T, apud </w:t>
      </w:r>
      <w:proofErr w:type="spellStart"/>
      <w:r w:rsidRPr="008D707D">
        <w:rPr>
          <w:rFonts w:ascii="High Tower Text" w:eastAsia="Arial" w:hAnsi="High Tower Text" w:cs="Arial"/>
          <w:color w:val="000000" w:themeColor="text1"/>
          <w:sz w:val="24"/>
          <w:szCs w:val="24"/>
        </w:rPr>
        <w:t>Shankara-Narayana</w:t>
      </w:r>
      <w:proofErr w:type="spellEnd"/>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2020), principalmente quando </w:t>
      </w:r>
      <w:proofErr w:type="gramStart"/>
      <w:r w:rsidRPr="008D707D">
        <w:rPr>
          <w:rFonts w:ascii="High Tower Text" w:eastAsia="Arial" w:hAnsi="High Tower Text" w:cs="Arial"/>
          <w:color w:val="000000" w:themeColor="text1"/>
          <w:sz w:val="24"/>
          <w:szCs w:val="24"/>
        </w:rPr>
        <w:t>sabe-se</w:t>
      </w:r>
      <w:proofErr w:type="gramEnd"/>
      <w:r w:rsidRPr="008D707D">
        <w:rPr>
          <w:rFonts w:ascii="High Tower Text" w:eastAsia="Arial" w:hAnsi="High Tower Text" w:cs="Arial"/>
          <w:color w:val="000000" w:themeColor="text1"/>
          <w:sz w:val="24"/>
          <w:szCs w:val="24"/>
        </w:rPr>
        <w:t xml:space="preserve"> que as altas doses de hormônios exógenos reduzem os níveis de HDL. Algumas evidências, porém, acreditam que possa ser de maneira reversível (Achar S. apud </w:t>
      </w:r>
      <w:proofErr w:type="spellStart"/>
      <w:r w:rsidRPr="008D707D">
        <w:rPr>
          <w:rFonts w:ascii="High Tower Text" w:eastAsia="Arial" w:hAnsi="High Tower Text" w:cs="Arial"/>
          <w:color w:val="000000" w:themeColor="text1"/>
          <w:sz w:val="24"/>
          <w:szCs w:val="24"/>
        </w:rPr>
        <w:t>Shankara-Narayana</w:t>
      </w:r>
      <w:proofErr w:type="spellEnd"/>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2020), especialmente no que se refere a disfunção e a insuficiência cardíaca induzida por andrógenos (RAPARELLI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2020).</w:t>
      </w:r>
    </w:p>
    <w:p w14:paraId="16688D9B"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p>
    <w:p w14:paraId="32D166DE" w14:textId="77777777" w:rsidR="008D707D" w:rsidRPr="008D707D" w:rsidRDefault="008D707D" w:rsidP="008D707D">
      <w:pPr>
        <w:pStyle w:val="Normal1"/>
        <w:pBdr>
          <w:top w:val="nil"/>
          <w:left w:val="nil"/>
          <w:bottom w:val="nil"/>
          <w:right w:val="nil"/>
          <w:between w:val="nil"/>
        </w:pBdr>
        <w:spacing w:after="0" w:line="360" w:lineRule="auto"/>
        <w:ind w:firstLine="0"/>
        <w:jc w:val="both"/>
        <w:rPr>
          <w:rFonts w:ascii="High Tower Text" w:eastAsia="Arial" w:hAnsi="High Tower Text" w:cs="Arial"/>
          <w:color w:val="000000" w:themeColor="text1"/>
          <w:sz w:val="24"/>
          <w:szCs w:val="24"/>
        </w:rPr>
      </w:pPr>
    </w:p>
    <w:p w14:paraId="694E28A3" w14:textId="2E997EC7" w:rsidR="008D707D" w:rsidRPr="008D707D" w:rsidRDefault="008D707D" w:rsidP="008D707D">
      <w:pPr>
        <w:pStyle w:val="Normal1"/>
        <w:pBdr>
          <w:top w:val="nil"/>
          <w:left w:val="nil"/>
          <w:bottom w:val="nil"/>
          <w:right w:val="nil"/>
          <w:between w:val="nil"/>
        </w:pBdr>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lastRenderedPageBreak/>
        <w:t>Alterações estruturais e funcionais cardíacas associadas ao uso de EAA</w:t>
      </w:r>
    </w:p>
    <w:p w14:paraId="7679D6B2"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Um estudo desenvolvido ao longo de 16 anos, buscou avaliar os efeitos do uso prolongado de esteroides e os possíveis comprometimentos da estrutura e da função cardíaca. Inicialmente, observou-se que uma das principais alterações foi a hipertrofia de VE e o comprometimento da função sistólica. Após 16 anos de acompanhamento, as hipertrofias de VE nos pacientes que continuaram com o uso apresentaram atenuação, enquanto a função sistólica continuou comprometida, sem piorar, apesar do uso prolongado de hormônios. Nos usuários que interromperam o consumo, foi observada reversibilidade da alteração funcional sistólica do VE, além de apresentarem lesões mínimas do miocárdio, manifestadas pela elevação da troponina, porém sem estender para de fato uma doença arterial coronariana (DAC), demonstrando que os esteroides podem afetar diretamente o miocárdio.</w:t>
      </w:r>
    </w:p>
    <w:p w14:paraId="3B2E5091"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partir da análise de parâmetros ecocardiográficos estruturais e funcionais, como a massa do ventrículo esquerdo (VE) e a deformação do miocárdio, observa-se que o uso de andrógenos exógenos está diretamente associado a impactos negativos sobre o coração, embora haja evidências de reversibilidade após a interrupção do uso </w:t>
      </w:r>
      <w:proofErr w:type="gramStart"/>
      <w:r w:rsidRPr="008D707D">
        <w:rPr>
          <w:rFonts w:ascii="High Tower Text" w:eastAsia="Arial" w:hAnsi="High Tower Text" w:cs="Arial"/>
          <w:color w:val="000000" w:themeColor="text1"/>
          <w:sz w:val="24"/>
          <w:szCs w:val="24"/>
        </w:rPr>
        <w:t>dos mesmos</w:t>
      </w:r>
      <w:proofErr w:type="gramEnd"/>
      <w:r w:rsidRPr="008D707D">
        <w:rPr>
          <w:rFonts w:ascii="High Tower Text" w:eastAsia="Arial" w:hAnsi="High Tower Text" w:cs="Arial"/>
          <w:color w:val="000000" w:themeColor="text1"/>
          <w:sz w:val="24"/>
          <w:szCs w:val="24"/>
        </w:rPr>
        <w:t xml:space="preserve">. As diferenças identificadas entre </w:t>
      </w:r>
      <w:proofErr w:type="spellStart"/>
      <w:r w:rsidRPr="008D707D">
        <w:rPr>
          <w:rFonts w:ascii="High Tower Text" w:eastAsia="Arial" w:hAnsi="High Tower Text" w:cs="Arial"/>
          <w:color w:val="000000" w:themeColor="text1"/>
          <w:sz w:val="24"/>
          <w:szCs w:val="24"/>
        </w:rPr>
        <w:t>ex-usuários</w:t>
      </w:r>
      <w:proofErr w:type="spellEnd"/>
      <w:r w:rsidRPr="008D707D">
        <w:rPr>
          <w:rFonts w:ascii="High Tower Text" w:eastAsia="Arial" w:hAnsi="High Tower Text" w:cs="Arial"/>
          <w:color w:val="000000" w:themeColor="text1"/>
          <w:sz w:val="24"/>
          <w:szCs w:val="24"/>
        </w:rPr>
        <w:t xml:space="preserve"> e não usuários sugerem variações nas taxas de recuperação cardíaca, possivelmente influenciadas pela intensidade e tempo de exposição. No que se refere à deformação longitudinal do VE, sua alteração indica um importante marcador subclínico, associado ao risco cardiovascular aumentado a longo prazo (IERING-SORENSEN T apud </w:t>
      </w:r>
      <w:r w:rsidRPr="008D707D">
        <w:rPr>
          <w:rFonts w:ascii="High Tower Text" w:eastAsia="Arial" w:hAnsi="High Tower Text" w:cs="Arial"/>
          <w:color w:val="000000" w:themeColor="text1"/>
          <w:sz w:val="24"/>
          <w:szCs w:val="24"/>
          <w:highlight w:val="white"/>
        </w:rPr>
        <w:t xml:space="preserve">SHANKARA-NARAYANA,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2020</w:t>
      </w:r>
      <w:r w:rsidRPr="008D707D">
        <w:rPr>
          <w:rFonts w:ascii="High Tower Text" w:eastAsia="Arial" w:hAnsi="High Tower Text" w:cs="Arial"/>
          <w:color w:val="000000" w:themeColor="text1"/>
          <w:sz w:val="24"/>
          <w:szCs w:val="24"/>
        </w:rPr>
        <w:t>). </w:t>
      </w:r>
    </w:p>
    <w:p w14:paraId="7AD5A5B6"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A fim de compreender melhor as diferenças entre os indivíduos que se submeteram ao uso excessivo de anabolizantes, um estudo revelou que a massa do VE estava aumentada nos usuários atuais em comparação aos não usuários, porém, não houve mudança significativa entre os não usuários e </w:t>
      </w:r>
      <w:proofErr w:type="spellStart"/>
      <w:r w:rsidRPr="008D707D">
        <w:rPr>
          <w:rFonts w:ascii="High Tower Text" w:eastAsia="Arial" w:hAnsi="High Tower Text" w:cs="Arial"/>
          <w:color w:val="000000" w:themeColor="text1"/>
          <w:sz w:val="24"/>
          <w:szCs w:val="24"/>
        </w:rPr>
        <w:t>ex</w:t>
      </w:r>
      <w:proofErr w:type="spellEnd"/>
      <w:r w:rsidRPr="008D707D">
        <w:rPr>
          <w:rFonts w:ascii="High Tower Text" w:eastAsia="Arial" w:hAnsi="High Tower Text" w:cs="Arial"/>
          <w:color w:val="000000" w:themeColor="text1"/>
          <w:sz w:val="24"/>
          <w:szCs w:val="24"/>
        </w:rPr>
        <w:t xml:space="preserve"> usuários. (</w:t>
      </w:r>
      <w:r w:rsidRPr="008D707D">
        <w:rPr>
          <w:rFonts w:ascii="High Tower Text" w:eastAsia="Arial" w:hAnsi="High Tower Text" w:cs="Arial"/>
          <w:color w:val="000000" w:themeColor="text1"/>
          <w:sz w:val="24"/>
          <w:szCs w:val="24"/>
          <w:highlight w:val="white"/>
        </w:rPr>
        <w:t xml:space="preserve">SHANKARA-NARAYANA,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2020</w:t>
      </w:r>
      <w:r w:rsidRPr="008D707D">
        <w:rPr>
          <w:rFonts w:ascii="High Tower Text" w:eastAsia="Arial" w:hAnsi="High Tower Text" w:cs="Arial"/>
          <w:color w:val="000000" w:themeColor="text1"/>
          <w:sz w:val="24"/>
          <w:szCs w:val="24"/>
        </w:rPr>
        <w:t>). </w:t>
      </w:r>
    </w:p>
    <w:p w14:paraId="71432B8E"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Dessa forma, os achados reforçam a hipótese que os efeitos adversos dos hormônios exógenos sobre a estrutura e função cardíaca podem ser, de fato, reversíveis. Entretanto, a persistência de alterações faz com que seja necessário acompanhamento clínico a longo prazo e aprofundamento sobre a </w:t>
      </w:r>
      <w:proofErr w:type="gramStart"/>
      <w:r w:rsidRPr="008D707D">
        <w:rPr>
          <w:rFonts w:ascii="High Tower Text" w:eastAsia="Arial" w:hAnsi="High Tower Text" w:cs="Arial"/>
          <w:color w:val="000000" w:themeColor="text1"/>
          <w:sz w:val="24"/>
          <w:szCs w:val="24"/>
        </w:rPr>
        <w:t>temática  acerca</w:t>
      </w:r>
      <w:proofErr w:type="gramEnd"/>
      <w:r w:rsidRPr="008D707D">
        <w:rPr>
          <w:rFonts w:ascii="High Tower Text" w:eastAsia="Arial" w:hAnsi="High Tower Text" w:cs="Arial"/>
          <w:color w:val="000000" w:themeColor="text1"/>
          <w:sz w:val="24"/>
          <w:szCs w:val="24"/>
        </w:rPr>
        <w:t xml:space="preserve"> dos mecanismos fisiopatológicos envolvidos.</w:t>
      </w:r>
    </w:p>
    <w:p w14:paraId="38EACAEA"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Segundo </w:t>
      </w:r>
      <w:hyperlink r:id="rId8">
        <w:proofErr w:type="spellStart"/>
        <w:r w:rsidRPr="008D707D">
          <w:rPr>
            <w:rFonts w:ascii="High Tower Text" w:eastAsia="Arial" w:hAnsi="High Tower Text" w:cs="Arial"/>
            <w:color w:val="000000" w:themeColor="text1"/>
            <w:sz w:val="24"/>
            <w:szCs w:val="24"/>
          </w:rPr>
          <w:t>Fyksen</w:t>
        </w:r>
        <w:proofErr w:type="spellEnd"/>
      </w:hyperlink>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(2025, p.) </w:t>
      </w:r>
    </w:p>
    <w:p w14:paraId="2277553E" w14:textId="0A7D9F21" w:rsidR="008D707D" w:rsidRPr="008D707D" w:rsidRDefault="008D707D" w:rsidP="008D707D">
      <w:pPr>
        <w:pStyle w:val="Normal1"/>
        <w:pBdr>
          <w:top w:val="nil"/>
          <w:left w:val="nil"/>
          <w:bottom w:val="nil"/>
          <w:right w:val="nil"/>
          <w:between w:val="nil"/>
        </w:pBdr>
        <w:spacing w:after="120" w:line="240" w:lineRule="auto"/>
        <w:ind w:left="2268" w:firstLine="0"/>
        <w:jc w:val="both"/>
        <w:rPr>
          <w:rFonts w:ascii="High Tower Text" w:eastAsia="Times New Roman" w:hAnsi="High Tower Text" w:cs="Times New Roman"/>
          <w:color w:val="000000" w:themeColor="text1"/>
          <w:sz w:val="24"/>
          <w:szCs w:val="24"/>
        </w:rPr>
      </w:pPr>
      <w:r w:rsidRPr="008D707D">
        <w:rPr>
          <w:rFonts w:ascii="High Tower Text" w:eastAsia="Arial" w:hAnsi="High Tower Text" w:cs="Arial"/>
          <w:color w:val="000000" w:themeColor="text1"/>
          <w:sz w:val="20"/>
          <w:szCs w:val="20"/>
        </w:rPr>
        <w:t xml:space="preserve">Estudos anteriores investigaram a potencial reversibilidade das alterações miocárdicas comparando usuários atuais e antigos de AAS. Outros compararam usuários em ciclo de vida com usuários fora do ciclo, sugerindo que certas alterações da CV podem variar com a exposição aos medicamentos e interrupções mais curtas. Ao contrário do nosso </w:t>
      </w:r>
      <w:r w:rsidRPr="008D707D">
        <w:rPr>
          <w:rFonts w:ascii="High Tower Text" w:eastAsia="Arial" w:hAnsi="High Tower Text" w:cs="Arial"/>
          <w:color w:val="000000" w:themeColor="text1"/>
          <w:sz w:val="20"/>
          <w:szCs w:val="20"/>
        </w:rPr>
        <w:lastRenderedPageBreak/>
        <w:t>estudo, este estudo não possuía um grupo controle e focou no uso de AAS a curto prazo, avaliando os efeitos miocárdicos após um único ciclo de AAS com uma duração mediana de 16 semanas.</w:t>
      </w:r>
    </w:p>
    <w:p w14:paraId="570DE405"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Times New Roman" w:hAnsi="High Tower Text" w:cs="Times New Roman"/>
          <w:color w:val="000000" w:themeColor="text1"/>
          <w:sz w:val="24"/>
          <w:szCs w:val="24"/>
        </w:rPr>
      </w:pPr>
      <w:r w:rsidRPr="008D707D">
        <w:rPr>
          <w:rFonts w:ascii="High Tower Text" w:eastAsia="Arial" w:hAnsi="High Tower Text" w:cs="Arial"/>
          <w:color w:val="000000" w:themeColor="text1"/>
          <w:sz w:val="24"/>
          <w:szCs w:val="24"/>
        </w:rPr>
        <w:t>Em conjunto, esses achados reforçam que a reversibilidade das estruturas cardíacas diante o uso de andrógenos permanece incerta, não ficando claro se a interrupção do consumo é suficiente para restaurar os danos estruturais e funcionais causados. </w:t>
      </w:r>
    </w:p>
    <w:p w14:paraId="4AF16C02"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Times New Roman" w:hAnsi="High Tower Text" w:cs="Times New Roman"/>
          <w:color w:val="000000" w:themeColor="text1"/>
          <w:sz w:val="24"/>
          <w:szCs w:val="24"/>
        </w:rPr>
      </w:pPr>
      <w:r w:rsidRPr="008D707D">
        <w:rPr>
          <w:rFonts w:ascii="High Tower Text" w:eastAsia="Arial" w:hAnsi="High Tower Text" w:cs="Arial"/>
          <w:color w:val="000000" w:themeColor="text1"/>
          <w:sz w:val="24"/>
          <w:szCs w:val="24"/>
        </w:rPr>
        <w:t xml:space="preserve">Ainda no estudo prévio, foi identificado um maior volume ventricular esquerdo em ambos os grupos de usuários de esteroides anabolizantes, sendo esse aumento mais pronunciado entre os usuários atuais. Esse achado sugere uma reversão estrutural parcial após a interrupção do uso, que pode ser explicado pela transição para substâncias menos potentes durante o acompanhamento. Por outro lado, a redução do volume ventricular esquerdo entre </w:t>
      </w:r>
      <w:proofErr w:type="spellStart"/>
      <w:r w:rsidRPr="008D707D">
        <w:rPr>
          <w:rFonts w:ascii="High Tower Text" w:eastAsia="Arial" w:hAnsi="High Tower Text" w:cs="Arial"/>
          <w:color w:val="000000" w:themeColor="text1"/>
          <w:sz w:val="24"/>
          <w:szCs w:val="24"/>
        </w:rPr>
        <w:t>ex</w:t>
      </w:r>
      <w:proofErr w:type="spellEnd"/>
      <w:r w:rsidRPr="008D707D">
        <w:rPr>
          <w:rFonts w:ascii="High Tower Text" w:eastAsia="Arial" w:hAnsi="High Tower Text" w:cs="Arial"/>
          <w:color w:val="000000" w:themeColor="text1"/>
          <w:sz w:val="24"/>
          <w:szCs w:val="24"/>
        </w:rPr>
        <w:t xml:space="preserve"> usuários provavelmente é atribuída pelo envelhecimento e mudanças do estilo de vida. </w:t>
      </w:r>
    </w:p>
    <w:p w14:paraId="2AC95A8D"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Times New Roman" w:hAnsi="High Tower Text" w:cs="Times New Roman"/>
          <w:color w:val="000000" w:themeColor="text1"/>
          <w:sz w:val="24"/>
          <w:szCs w:val="24"/>
        </w:rPr>
      </w:pPr>
      <w:r w:rsidRPr="008D707D">
        <w:rPr>
          <w:rFonts w:ascii="High Tower Text" w:eastAsia="Arial" w:hAnsi="High Tower Text" w:cs="Arial"/>
          <w:color w:val="000000" w:themeColor="text1"/>
          <w:sz w:val="24"/>
          <w:szCs w:val="24"/>
        </w:rPr>
        <w:t>Enquanto seja evidente as alterações do volume ventricular esquerdo, não foram observadas diferenças na massa do ventrículo esquerdo, no índice de massa do ventrículo esquerdo e na espessura relativa da parede entre os usuários que haviam interrompido o uso de esteroides e os não usuários, reforçando que as estruturas que sofreram alterações podem ser reverter com a cessação da droga.</w:t>
      </w:r>
    </w:p>
    <w:p w14:paraId="09A39430"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Times New Roman" w:hAnsi="High Tower Text" w:cs="Times New Roman"/>
          <w:color w:val="000000" w:themeColor="text1"/>
          <w:sz w:val="24"/>
          <w:szCs w:val="24"/>
        </w:rPr>
      </w:pPr>
      <w:r w:rsidRPr="008D707D">
        <w:rPr>
          <w:rFonts w:ascii="High Tower Text" w:eastAsia="Arial" w:hAnsi="High Tower Text" w:cs="Arial"/>
          <w:color w:val="000000" w:themeColor="text1"/>
          <w:sz w:val="24"/>
          <w:szCs w:val="24"/>
        </w:rPr>
        <w:t>A partir das pesquisas realizadas para o presente estudo, embora já exista conhecimento consolidado sobre os  efeitos negativos que o abuso crescente de andrógenos se constitui atualmente na saúde pública, observa-se que o tema ainda é negligenciado na literatura científica (</w:t>
      </w:r>
      <w:proofErr w:type="spellStart"/>
      <w:r w:rsidRPr="008D707D">
        <w:rPr>
          <w:rFonts w:ascii="High Tower Text" w:eastAsia="Arial" w:hAnsi="High Tower Text" w:cs="Arial"/>
          <w:color w:val="000000" w:themeColor="text1"/>
          <w:sz w:val="24"/>
          <w:szCs w:val="24"/>
        </w:rPr>
        <w:t>Kanayama</w:t>
      </w:r>
      <w:proofErr w:type="spellEnd"/>
      <w:r w:rsidRPr="008D707D">
        <w:rPr>
          <w:rFonts w:ascii="High Tower Text" w:eastAsia="Arial" w:hAnsi="High Tower Text" w:cs="Arial"/>
          <w:color w:val="000000" w:themeColor="text1"/>
          <w:sz w:val="24"/>
          <w:szCs w:val="24"/>
        </w:rPr>
        <w:t xml:space="preserve"> G, apud  </w:t>
      </w:r>
      <w:proofErr w:type="spellStart"/>
      <w:r w:rsidRPr="008D707D">
        <w:rPr>
          <w:rFonts w:ascii="High Tower Text" w:eastAsia="Arial" w:hAnsi="High Tower Text" w:cs="Arial"/>
          <w:color w:val="000000" w:themeColor="text1"/>
          <w:sz w:val="24"/>
          <w:szCs w:val="24"/>
        </w:rPr>
        <w:t>Shankara-Narayana</w:t>
      </w:r>
      <w:proofErr w:type="spellEnd"/>
      <w:r w:rsidRPr="008D707D">
        <w:rPr>
          <w:rFonts w:ascii="High Tower Text" w:eastAsia="Arial" w:hAnsi="High Tower Text" w:cs="Arial"/>
          <w:color w:val="000000" w:themeColor="text1"/>
          <w:sz w:val="24"/>
          <w:szCs w:val="24"/>
        </w:rPr>
        <w:t xml:space="preserve"> et  al.) Ademais, há uma certa escassez no que se diz a respeito de investigações abrangentes sobre as consequências do seu uso prolongado (POPE HG JR, apud </w:t>
      </w:r>
      <w:r w:rsidRPr="008D707D">
        <w:rPr>
          <w:rFonts w:ascii="High Tower Text" w:eastAsia="Arial" w:hAnsi="High Tower Text" w:cs="Arial"/>
          <w:color w:val="000000" w:themeColor="text1"/>
          <w:sz w:val="24"/>
          <w:szCs w:val="24"/>
          <w:highlight w:val="white"/>
        </w:rPr>
        <w:t xml:space="preserve">SHANKARA-NARAYANA, </w:t>
      </w:r>
      <w:r w:rsidRPr="008D707D">
        <w:rPr>
          <w:rFonts w:ascii="High Tower Text" w:eastAsia="Arial" w:hAnsi="High Tower Text" w:cs="Arial"/>
          <w:i/>
          <w:color w:val="000000" w:themeColor="text1"/>
          <w:sz w:val="24"/>
          <w:szCs w:val="24"/>
          <w:highlight w:val="white"/>
        </w:rPr>
        <w:t>et al.</w:t>
      </w:r>
      <w:r w:rsidRPr="008D707D">
        <w:rPr>
          <w:rFonts w:ascii="High Tower Text" w:eastAsia="Arial" w:hAnsi="High Tower Text" w:cs="Arial"/>
          <w:color w:val="000000" w:themeColor="text1"/>
          <w:sz w:val="24"/>
          <w:szCs w:val="24"/>
          <w:highlight w:val="white"/>
        </w:rPr>
        <w:t>, 2020</w:t>
      </w:r>
      <w:r w:rsidRPr="008D707D">
        <w:rPr>
          <w:rFonts w:ascii="High Tower Text" w:eastAsia="Arial" w:hAnsi="High Tower Text" w:cs="Arial"/>
          <w:color w:val="000000" w:themeColor="text1"/>
          <w:sz w:val="24"/>
          <w:szCs w:val="24"/>
        </w:rPr>
        <w:t>).</w:t>
      </w:r>
    </w:p>
    <w:p w14:paraId="6378BB6B"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Esta revisão apresenta algumas limitações. O número reduzido de estudos incluídos limita a generalização dos achados, especialmente diante da heterogeneidade dos desenhos metodológicos, tamanhos amostrais e características das populações investigadas. Além disso, os estudos diferiram quanto à duração e intensidade da exposição aos EAA, às substâncias utilizadas e ao período transcorrido desde a interrupção do consumo. A utilização de diferentes métodos para avaliação da função cardíaca também dificulta comparações diretas. Ressalta-se ainda que parte da literatura disponível apresente delineamento transversal, o que limita inferências causais. Por fim, a inclusão de apenas duas bases de dados pode ter reduzido a identificação de estudos potencialmente relevantes.</w:t>
      </w:r>
    </w:p>
    <w:p w14:paraId="29BAEABD" w14:textId="77777777" w:rsidR="008D707D" w:rsidRPr="008D707D" w:rsidRDefault="008D707D" w:rsidP="008D707D">
      <w:pPr>
        <w:pStyle w:val="Normal1"/>
        <w:spacing w:after="0" w:line="360" w:lineRule="auto"/>
        <w:ind w:firstLine="709"/>
        <w:jc w:val="both"/>
        <w:rPr>
          <w:rFonts w:ascii="High Tower Text" w:eastAsia="Arial" w:hAnsi="High Tower Text" w:cs="Arial"/>
          <w:color w:val="000000" w:themeColor="text1"/>
          <w:sz w:val="24"/>
          <w:szCs w:val="24"/>
        </w:rPr>
      </w:pPr>
    </w:p>
    <w:p w14:paraId="02CC1999" w14:textId="77777777" w:rsidR="008D707D" w:rsidRPr="008D707D" w:rsidRDefault="008D707D" w:rsidP="008D707D">
      <w:pPr>
        <w:pStyle w:val="Normal1"/>
        <w:pBdr>
          <w:top w:val="nil"/>
          <w:left w:val="nil"/>
          <w:bottom w:val="nil"/>
          <w:right w:val="nil"/>
          <w:between w:val="nil"/>
        </w:pBdr>
        <w:spacing w:before="240" w:after="240" w:line="240" w:lineRule="auto"/>
        <w:ind w:firstLine="0"/>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lastRenderedPageBreak/>
        <w:t>CONSIDERAÇÕES FINAIS</w:t>
      </w:r>
    </w:p>
    <w:p w14:paraId="493C27E2"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A presente revisão permitiu analisar a associação entre o uso abusivo de esteroides exógenos e o aumento do risco de eventos cardiovasculares, especialmente em adultos jovens. Embora essas substâncias sejam utilizadas em condições clínicas específicas, seu uso em doses supra fisiológicas e sem acompanhamento e indicação profissional podem causar danos relevantes na saúde cardiovascular dos consumidores. Os achados reforçam que a utilização não terapêutica e prolongada dos EAA pode representar um importante fator de risco para o desenvolvimento de alterações cardiovasculares.</w:t>
      </w:r>
    </w:p>
    <w:p w14:paraId="23D2D29C"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Os estudos analisados revelaram que as consequências são multifatoriais, ou seja, podem envolver alterações estruturais, funcionais, vasculares, hemodinâmicas e metabólicas. Entre os principais achados, destacam-se disfunção endotelial, hipertensão arterial, alterações na estrutura do ventrículo esquerdo e disfunção sistólica do coração. Esses eventos podem atuar de forma conjunta, favorecendo o desenvolvimento precoce de complicações cardíacas, além da possibilidade de ocorrência de eventos maiores, como infarto agudo do miocárdio (IAM), tromboembolismo, cardiomiopatia e morte súbita. Diante dessas evidências, é possível afirmar que, ainda que </w:t>
      </w:r>
      <w:proofErr w:type="gramStart"/>
      <w:r w:rsidRPr="008D707D">
        <w:rPr>
          <w:rFonts w:ascii="High Tower Text" w:eastAsia="Arial" w:hAnsi="High Tower Text" w:cs="Arial"/>
          <w:color w:val="000000" w:themeColor="text1"/>
          <w:sz w:val="24"/>
          <w:szCs w:val="24"/>
        </w:rPr>
        <w:t>aparentam</w:t>
      </w:r>
      <w:proofErr w:type="gramEnd"/>
      <w:r w:rsidRPr="008D707D">
        <w:rPr>
          <w:rFonts w:ascii="High Tower Text" w:eastAsia="Arial" w:hAnsi="High Tower Text" w:cs="Arial"/>
          <w:color w:val="000000" w:themeColor="text1"/>
          <w:sz w:val="24"/>
          <w:szCs w:val="24"/>
        </w:rPr>
        <w:t xml:space="preserve"> ser indivíduos saudáveis que praticam regularmente exercícios físicos, ainda estão propensos a apresentarem efeitos adversos, ressalvando que a prática de atividade física não exclui o risco de eventos cardiovasculares associados ao uso indiscriminado de hormônios exógenos.</w:t>
      </w:r>
    </w:p>
    <w:p w14:paraId="69E6656A"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Ademais, foi observada a possibilidade de reversão de danos cardíacos após a suspensão dos anabolizantes. Ainda que não seja em todos os casos, alguns estudos demonstraram reversibilidade estrutural e melhora funcional após a interrupção do uso. Entretanto, essa recuperação não ocorre de forma imediata e completa, e que ainda há incertezas a respeito do tempo de recuperação e a permanência de alterações cardíacas após longos períodos de exposição. </w:t>
      </w:r>
    </w:p>
    <w:p w14:paraId="46CD7CEF" w14:textId="77777777" w:rsidR="008D707D" w:rsidRPr="008D707D" w:rsidRDefault="008D707D" w:rsidP="008D707D">
      <w:pPr>
        <w:pStyle w:val="Normal1"/>
        <w:pBdr>
          <w:top w:val="nil"/>
          <w:left w:val="nil"/>
          <w:bottom w:val="nil"/>
          <w:right w:val="nil"/>
          <w:between w:val="nil"/>
        </w:pBdr>
        <w:spacing w:after="0" w:line="360" w:lineRule="auto"/>
        <w:ind w:firstLine="709"/>
        <w:jc w:val="both"/>
        <w:rPr>
          <w:rFonts w:ascii="High Tower Text" w:eastAsia="Arial" w:hAnsi="High Tower Text" w:cs="Arial"/>
          <w:color w:val="000000" w:themeColor="text1"/>
          <w:sz w:val="24"/>
          <w:szCs w:val="24"/>
          <w:highlight w:val="white"/>
        </w:rPr>
      </w:pPr>
      <w:r w:rsidRPr="008D707D">
        <w:rPr>
          <w:rFonts w:ascii="High Tower Text" w:eastAsia="Arial" w:hAnsi="High Tower Text" w:cs="Arial"/>
          <w:color w:val="000000" w:themeColor="text1"/>
          <w:sz w:val="24"/>
          <w:szCs w:val="24"/>
        </w:rPr>
        <w:t xml:space="preserve">Conclui-se, portanto, que </w:t>
      </w:r>
      <w:proofErr w:type="gramStart"/>
      <w:r w:rsidRPr="008D707D">
        <w:rPr>
          <w:rFonts w:ascii="High Tower Text" w:eastAsia="Arial" w:hAnsi="High Tower Text" w:cs="Arial"/>
          <w:color w:val="000000" w:themeColor="text1"/>
          <w:sz w:val="24"/>
          <w:szCs w:val="24"/>
        </w:rPr>
        <w:t>o uso excessivo de esteroides anabolizantes em adultos jovens impactam</w:t>
      </w:r>
      <w:proofErr w:type="gramEnd"/>
      <w:r w:rsidRPr="008D707D">
        <w:rPr>
          <w:rFonts w:ascii="High Tower Text" w:eastAsia="Arial" w:hAnsi="High Tower Text" w:cs="Arial"/>
          <w:color w:val="000000" w:themeColor="text1"/>
          <w:sz w:val="24"/>
          <w:szCs w:val="24"/>
        </w:rPr>
        <w:t xml:space="preserve"> de forma relevante a saúde cardiovascular, apresentando potencial para desenvolver uma cardiomiopatia silenciosa que pode perpetuar por anos até eventos mais graves que podem levar à morte súbita, como por exemplo. A possibilidade de permanência de alterações cardíacas e outros danos em demais sistemas ressalta a importância da prevenção do uso não terapêutico e o acompanhamento por profissionais de saúde e a ampliação das ações educativas, </w:t>
      </w:r>
      <w:r w:rsidRPr="008D707D">
        <w:rPr>
          <w:rFonts w:ascii="High Tower Text" w:eastAsia="Arial" w:hAnsi="High Tower Text" w:cs="Arial"/>
          <w:color w:val="000000" w:themeColor="text1"/>
          <w:sz w:val="24"/>
          <w:szCs w:val="24"/>
        </w:rPr>
        <w:lastRenderedPageBreak/>
        <w:t xml:space="preserve">especialmente entre os jovens, são fundamentais para reduzir a exposição indiscriminada aos EAA. Além disso, destaca-se a necessidade de novos estudos que aprofundem a compreensão dos efeitos cardiovasculares decorrentes do uso prolongado dessas substâncias, bem como dos mecanismos de recuperação após sua suspensão, a fim de </w:t>
      </w:r>
      <w:r w:rsidRPr="008D707D">
        <w:rPr>
          <w:rFonts w:ascii="High Tower Text" w:eastAsia="Arial" w:hAnsi="High Tower Text" w:cs="Arial"/>
          <w:color w:val="000000" w:themeColor="text1"/>
          <w:sz w:val="24"/>
          <w:szCs w:val="24"/>
          <w:highlight w:val="white"/>
        </w:rPr>
        <w:t>propor ações de conscientização, prevenção e orientação, contribuindo para que o uso dessas substâncias ocorra de maneira responsável e, principalmente, dentro dos limites da segurança e da indicação médica.</w:t>
      </w:r>
    </w:p>
    <w:p w14:paraId="02772604" w14:textId="77777777" w:rsidR="008D707D" w:rsidRPr="008D707D" w:rsidRDefault="008D707D" w:rsidP="00223626">
      <w:pPr>
        <w:pStyle w:val="Normal1"/>
        <w:pBdr>
          <w:top w:val="nil"/>
          <w:left w:val="nil"/>
          <w:bottom w:val="nil"/>
          <w:right w:val="nil"/>
          <w:between w:val="nil"/>
        </w:pBdr>
        <w:spacing w:before="100" w:beforeAutospacing="1" w:after="100" w:afterAutospacing="1" w:line="240" w:lineRule="auto"/>
        <w:ind w:firstLine="0"/>
        <w:jc w:val="both"/>
        <w:rPr>
          <w:rFonts w:ascii="High Tower Text" w:eastAsia="Arial" w:hAnsi="High Tower Text" w:cs="Arial"/>
          <w:b/>
          <w:bCs/>
          <w:color w:val="000000" w:themeColor="text1"/>
          <w:sz w:val="24"/>
          <w:szCs w:val="24"/>
        </w:rPr>
      </w:pPr>
      <w:r w:rsidRPr="008D707D">
        <w:rPr>
          <w:rFonts w:ascii="High Tower Text" w:eastAsia="Arial" w:hAnsi="High Tower Text" w:cs="Arial"/>
          <w:b/>
          <w:bCs/>
          <w:color w:val="000000" w:themeColor="text1"/>
          <w:sz w:val="24"/>
          <w:szCs w:val="24"/>
        </w:rPr>
        <w:t xml:space="preserve">REFERÊNCIAS </w:t>
      </w:r>
    </w:p>
    <w:p w14:paraId="2758601D" w14:textId="4DB82007" w:rsidR="008D707D" w:rsidRPr="008D707D" w:rsidRDefault="00223626" w:rsidP="008D707D">
      <w:pPr>
        <w:pStyle w:val="Normal1"/>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rPr>
        <w:t>ALBANO</w:t>
      </w:r>
      <w:r w:rsidR="008D707D" w:rsidRPr="008D707D">
        <w:rPr>
          <w:rFonts w:ascii="High Tower Text" w:eastAsia="Arial" w:hAnsi="High Tower Text" w:cs="Arial"/>
          <w:color w:val="000000" w:themeColor="text1"/>
          <w:sz w:val="24"/>
          <w:szCs w:val="24"/>
        </w:rPr>
        <w:t xml:space="preserve"> GD, </w:t>
      </w:r>
      <w:r w:rsidR="008D707D" w:rsidRPr="008D707D">
        <w:rPr>
          <w:rFonts w:ascii="High Tower Text" w:eastAsia="Arial" w:hAnsi="High Tower Text" w:cs="Arial"/>
          <w:i/>
          <w:color w:val="000000" w:themeColor="text1"/>
          <w:sz w:val="24"/>
          <w:szCs w:val="24"/>
        </w:rPr>
        <w:t>et al.</w:t>
      </w:r>
      <w:r w:rsidR="008D707D" w:rsidRPr="008D707D">
        <w:rPr>
          <w:rFonts w:ascii="High Tower Text" w:eastAsia="Arial" w:hAnsi="High Tower Text" w:cs="Arial"/>
          <w:color w:val="000000" w:themeColor="text1"/>
          <w:sz w:val="24"/>
          <w:szCs w:val="24"/>
        </w:rPr>
        <w:t xml:space="preserve"> </w:t>
      </w:r>
      <w:r w:rsidR="008D707D" w:rsidRPr="008D707D">
        <w:rPr>
          <w:rFonts w:ascii="High Tower Text" w:eastAsia="Arial" w:hAnsi="High Tower Text" w:cs="Arial"/>
          <w:color w:val="000000" w:themeColor="text1"/>
          <w:sz w:val="24"/>
          <w:szCs w:val="24"/>
          <w:lang w:val="en-US"/>
        </w:rPr>
        <w:t xml:space="preserve">Adverse Effects of Anabolic-Androgenic Steroids. A Literature Review. Healthcare (Basel). 2021 Jan 19;9(1):97. </w:t>
      </w:r>
      <w:proofErr w:type="spellStart"/>
      <w:r w:rsidR="008D707D" w:rsidRPr="008D707D">
        <w:rPr>
          <w:rFonts w:ascii="High Tower Text" w:eastAsia="Arial" w:hAnsi="High Tower Text" w:cs="Arial"/>
          <w:color w:val="000000" w:themeColor="text1"/>
          <w:sz w:val="24"/>
          <w:szCs w:val="24"/>
          <w:lang w:val="en-US"/>
        </w:rPr>
        <w:t>doi</w:t>
      </w:r>
      <w:proofErr w:type="spellEnd"/>
      <w:r w:rsidR="008D707D" w:rsidRPr="008D707D">
        <w:rPr>
          <w:rFonts w:ascii="High Tower Text" w:eastAsia="Arial" w:hAnsi="High Tower Text" w:cs="Arial"/>
          <w:color w:val="000000" w:themeColor="text1"/>
          <w:sz w:val="24"/>
          <w:szCs w:val="24"/>
          <w:lang w:val="en-US"/>
        </w:rPr>
        <w:t>: 10.3390/healthcare9010097. PMID: 33477800; PMCID: PMC7832337</w:t>
      </w:r>
    </w:p>
    <w:p w14:paraId="046BFFF2"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3E469E5D" w14:textId="5469102E" w:rsidR="008D707D" w:rsidRPr="008D707D" w:rsidRDefault="00223626" w:rsidP="008D707D">
      <w:pPr>
        <w:pStyle w:val="Normal1"/>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ARNOLD, </w:t>
      </w:r>
      <w:r w:rsidR="008D707D" w:rsidRPr="008D707D">
        <w:rPr>
          <w:rFonts w:ascii="High Tower Text" w:eastAsia="Arial" w:hAnsi="High Tower Text" w:cs="Arial"/>
          <w:color w:val="000000" w:themeColor="text1"/>
          <w:sz w:val="24"/>
          <w:szCs w:val="24"/>
          <w:lang w:val="en-US"/>
        </w:rPr>
        <w:t xml:space="preserve">A. P., </w:t>
      </w:r>
      <w:r w:rsidR="008D707D" w:rsidRPr="008D707D">
        <w:rPr>
          <w:rFonts w:ascii="High Tower Text" w:eastAsia="Arial" w:hAnsi="High Tower Text" w:cs="Arial"/>
          <w:i/>
          <w:color w:val="000000" w:themeColor="text1"/>
          <w:sz w:val="24"/>
          <w:szCs w:val="24"/>
          <w:lang w:val="en-US"/>
        </w:rPr>
        <w:t>et al.</w:t>
      </w:r>
      <w:r w:rsidR="008D707D" w:rsidRPr="008D707D">
        <w:rPr>
          <w:rFonts w:ascii="High Tower Text" w:eastAsia="Arial" w:hAnsi="High Tower Text" w:cs="Arial"/>
          <w:color w:val="000000" w:themeColor="text1"/>
          <w:sz w:val="24"/>
          <w:szCs w:val="24"/>
          <w:lang w:val="en-US"/>
        </w:rPr>
        <w:t xml:space="preserve"> Sex Hormones and Sex Chromosomes Cause Sex Differences in the Development of Cardiovascular Diseases. </w:t>
      </w:r>
      <w:r w:rsidR="008D707D" w:rsidRPr="008D707D">
        <w:rPr>
          <w:rFonts w:ascii="High Tower Text" w:eastAsia="Arial" w:hAnsi="High Tower Text" w:cs="Arial"/>
          <w:i/>
          <w:iCs/>
          <w:color w:val="000000" w:themeColor="text1"/>
          <w:sz w:val="24"/>
          <w:szCs w:val="24"/>
          <w:lang w:val="en-US"/>
        </w:rPr>
        <w:t>Arteriosclerosis, thrombosis, and vascular biology</w:t>
      </w:r>
      <w:r w:rsidR="008D707D" w:rsidRPr="008D707D">
        <w:rPr>
          <w:rFonts w:ascii="High Tower Text" w:eastAsia="Arial" w:hAnsi="High Tower Text" w:cs="Arial"/>
          <w:color w:val="000000" w:themeColor="text1"/>
          <w:sz w:val="24"/>
          <w:szCs w:val="24"/>
          <w:lang w:val="en-US"/>
        </w:rPr>
        <w:t xml:space="preserve">, </w:t>
      </w:r>
      <w:r w:rsidR="008D707D" w:rsidRPr="008D707D">
        <w:rPr>
          <w:rFonts w:ascii="High Tower Text" w:eastAsia="Arial" w:hAnsi="High Tower Text" w:cs="Arial"/>
          <w:i/>
          <w:iCs/>
          <w:color w:val="000000" w:themeColor="text1"/>
          <w:sz w:val="24"/>
          <w:szCs w:val="24"/>
          <w:lang w:val="en-US"/>
        </w:rPr>
        <w:t>37</w:t>
      </w:r>
      <w:r w:rsidR="008D707D" w:rsidRPr="008D707D">
        <w:rPr>
          <w:rFonts w:ascii="High Tower Text" w:eastAsia="Arial" w:hAnsi="High Tower Text" w:cs="Arial"/>
          <w:color w:val="000000" w:themeColor="text1"/>
          <w:sz w:val="24"/>
          <w:szCs w:val="24"/>
          <w:lang w:val="en-US"/>
        </w:rPr>
        <w:t xml:space="preserve">(5), 746–756. https://doi.org/10.1161/ATVBAHA.116.307301 </w:t>
      </w:r>
    </w:p>
    <w:p w14:paraId="36361926"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546F8598" w14:textId="25513A19" w:rsidR="008D707D" w:rsidRPr="008D707D" w:rsidRDefault="00223626" w:rsidP="008D707D">
      <w:pPr>
        <w:pStyle w:val="Normal1"/>
        <w:spacing w:after="0" w:line="240" w:lineRule="auto"/>
        <w:ind w:left="-2" w:firstLine="0"/>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lang w:val="en-US"/>
        </w:rPr>
        <w:t>BAGGISH</w:t>
      </w:r>
      <w:r w:rsidR="008D707D" w:rsidRPr="008D707D">
        <w:rPr>
          <w:rFonts w:ascii="High Tower Text" w:eastAsia="Arial" w:hAnsi="High Tower Text" w:cs="Arial"/>
          <w:color w:val="000000" w:themeColor="text1"/>
          <w:sz w:val="24"/>
          <w:szCs w:val="24"/>
          <w:lang w:val="en-US"/>
        </w:rPr>
        <w:t xml:space="preserve">   </w:t>
      </w:r>
      <w:proofErr w:type="gramStart"/>
      <w:r w:rsidR="008D707D" w:rsidRPr="008D707D">
        <w:rPr>
          <w:rFonts w:ascii="High Tower Text" w:eastAsia="Arial" w:hAnsi="High Tower Text" w:cs="Arial"/>
          <w:color w:val="000000" w:themeColor="text1"/>
          <w:sz w:val="24"/>
          <w:szCs w:val="24"/>
          <w:lang w:val="en-US"/>
        </w:rPr>
        <w:t>AL ,</w:t>
      </w:r>
      <w:proofErr w:type="gramEnd"/>
      <w:r w:rsidR="008D707D" w:rsidRPr="008D707D">
        <w:rPr>
          <w:rFonts w:ascii="High Tower Text" w:eastAsia="Arial" w:hAnsi="High Tower Text" w:cs="Arial"/>
          <w:color w:val="000000" w:themeColor="text1"/>
          <w:sz w:val="24"/>
          <w:szCs w:val="24"/>
          <w:lang w:val="en-US"/>
        </w:rPr>
        <w:t xml:space="preserve"> Weiner RB, Kanayama G, </w:t>
      </w:r>
      <w:r w:rsidR="008D707D" w:rsidRPr="008D707D">
        <w:rPr>
          <w:rFonts w:ascii="High Tower Text" w:eastAsia="Arial" w:hAnsi="High Tower Text" w:cs="Arial"/>
          <w:i/>
          <w:color w:val="000000" w:themeColor="text1"/>
          <w:sz w:val="24"/>
          <w:szCs w:val="24"/>
          <w:lang w:val="en-US"/>
        </w:rPr>
        <w:t>et al.</w:t>
      </w:r>
      <w:r w:rsidR="008D707D" w:rsidRPr="008D707D">
        <w:rPr>
          <w:rFonts w:ascii="High Tower Text" w:eastAsia="Arial" w:hAnsi="High Tower Text" w:cs="Arial"/>
          <w:color w:val="000000" w:themeColor="text1"/>
          <w:sz w:val="24"/>
          <w:szCs w:val="24"/>
          <w:lang w:val="en-US"/>
        </w:rPr>
        <w:t xml:space="preserve">  Cardiovascular toxicity of illicit anabolic-androgenic steroid use. </w:t>
      </w:r>
      <w:r w:rsidR="008D707D" w:rsidRPr="008D707D">
        <w:rPr>
          <w:rFonts w:ascii="High Tower Text" w:eastAsia="Arial" w:hAnsi="High Tower Text" w:cs="Arial"/>
          <w:i/>
          <w:iCs/>
          <w:color w:val="000000" w:themeColor="text1"/>
          <w:sz w:val="24"/>
          <w:szCs w:val="24"/>
        </w:rPr>
        <w:t>Circulation.</w:t>
      </w:r>
      <w:r w:rsidR="008D707D" w:rsidRPr="008D707D">
        <w:rPr>
          <w:rFonts w:ascii="High Tower Text" w:eastAsia="Arial" w:hAnsi="High Tower Text" w:cs="Arial"/>
          <w:color w:val="000000" w:themeColor="text1"/>
          <w:sz w:val="24"/>
          <w:szCs w:val="24"/>
        </w:rPr>
        <w:t>2017;135(21):1991–2002. (</w:t>
      </w:r>
      <w:hyperlink r:id="rId9">
        <w:r w:rsidR="008D707D" w:rsidRPr="008D707D">
          <w:rPr>
            <w:rFonts w:ascii="High Tower Text" w:eastAsia="Arial" w:hAnsi="High Tower Text" w:cs="Arial"/>
            <w:color w:val="000000" w:themeColor="text1"/>
            <w:sz w:val="24"/>
            <w:szCs w:val="24"/>
          </w:rPr>
          <w:t>http</w:t>
        </w:r>
      </w:hyperlink>
      <w:hyperlink r:id="rId10">
        <w:r w:rsidR="008D707D" w:rsidRPr="008D707D">
          <w:rPr>
            <w:rFonts w:ascii="High Tower Text" w:eastAsia="Arial" w:hAnsi="High Tower Text" w:cs="Arial"/>
            <w:color w:val="000000" w:themeColor="text1"/>
            <w:sz w:val="24"/>
            <w:szCs w:val="24"/>
          </w:rPr>
          <w:t>s://pmc.ncbi.nlm.nih.gov/</w:t>
        </w:r>
        <w:proofErr w:type="spellStart"/>
        <w:r w:rsidR="008D707D" w:rsidRPr="008D707D">
          <w:rPr>
            <w:rFonts w:ascii="High Tower Text" w:eastAsia="Arial" w:hAnsi="High Tower Text" w:cs="Arial"/>
            <w:color w:val="000000" w:themeColor="text1"/>
            <w:sz w:val="24"/>
            <w:szCs w:val="24"/>
          </w:rPr>
          <w:t>articles</w:t>
        </w:r>
        <w:proofErr w:type="spellEnd"/>
        <w:r w:rsidR="008D707D" w:rsidRPr="008D707D">
          <w:rPr>
            <w:rFonts w:ascii="High Tower Text" w:eastAsia="Arial" w:hAnsi="High Tower Text" w:cs="Arial"/>
            <w:color w:val="000000" w:themeColor="text1"/>
            <w:sz w:val="24"/>
            <w:szCs w:val="24"/>
          </w:rPr>
          <w:t>/PMC5614517/</w:t>
        </w:r>
      </w:hyperlink>
      <w:r w:rsidR="008D707D" w:rsidRPr="008D707D">
        <w:rPr>
          <w:rFonts w:ascii="High Tower Text" w:eastAsia="Arial" w:hAnsi="High Tower Text" w:cs="Arial"/>
          <w:color w:val="000000" w:themeColor="text1"/>
          <w:sz w:val="24"/>
          <w:szCs w:val="24"/>
        </w:rPr>
        <w:t xml:space="preserve">) </w:t>
      </w:r>
    </w:p>
    <w:p w14:paraId="5564FA4D"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rPr>
      </w:pPr>
    </w:p>
    <w:p w14:paraId="1DE32CE6" w14:textId="77777777" w:rsidR="008D707D" w:rsidRPr="008D707D" w:rsidRDefault="008D707D" w:rsidP="008D707D">
      <w:pPr>
        <w:pStyle w:val="Normal1"/>
        <w:spacing w:after="0" w:line="240" w:lineRule="auto"/>
        <w:ind w:left="-2"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rPr>
        <w:t xml:space="preserve">CONSELHO FEDERAL DE MEDICINA. </w:t>
      </w:r>
      <w:r w:rsidRPr="008D707D">
        <w:rPr>
          <w:rFonts w:ascii="High Tower Text" w:eastAsia="Arial" w:hAnsi="High Tower Text" w:cs="Arial"/>
          <w:b/>
          <w:bCs/>
          <w:color w:val="000000" w:themeColor="text1"/>
          <w:sz w:val="24"/>
          <w:szCs w:val="24"/>
        </w:rPr>
        <w:t>Resolução CFM nº 2.333/2023.</w:t>
      </w:r>
      <w:r w:rsidRPr="008D707D">
        <w:rPr>
          <w:rFonts w:ascii="High Tower Text" w:eastAsia="Arial" w:hAnsi="High Tower Text" w:cs="Arial"/>
          <w:color w:val="000000" w:themeColor="text1"/>
          <w:sz w:val="24"/>
          <w:szCs w:val="24"/>
        </w:rPr>
        <w:t xml:space="preserve"> Adota normas éticas para a prescrição de terapias hormonais com esteroides androgênicos e anabolizantes, contraindicando o uso para finalidade estética, ganho de massa muscular e melhora do desempenho esportivo. </w:t>
      </w:r>
      <w:r w:rsidRPr="008D707D">
        <w:rPr>
          <w:rFonts w:ascii="High Tower Text" w:eastAsia="Arial" w:hAnsi="High Tower Text" w:cs="Arial"/>
          <w:color w:val="000000" w:themeColor="text1"/>
          <w:sz w:val="24"/>
          <w:szCs w:val="24"/>
          <w:lang w:val="en-US"/>
        </w:rPr>
        <w:t>Brasília, DF, 2023.</w:t>
      </w:r>
    </w:p>
    <w:p w14:paraId="2F3E2DA0"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7F692432" w14:textId="6D358162" w:rsidR="008D707D" w:rsidRPr="008D707D" w:rsidRDefault="00223626"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FYKSEN, </w:t>
      </w:r>
      <w:r w:rsidR="008D707D" w:rsidRPr="008D707D">
        <w:rPr>
          <w:rFonts w:ascii="High Tower Text" w:eastAsia="Arial" w:hAnsi="High Tower Text" w:cs="Arial"/>
          <w:color w:val="000000" w:themeColor="text1"/>
          <w:sz w:val="24"/>
          <w:szCs w:val="24"/>
          <w:lang w:val="en-US"/>
        </w:rPr>
        <w:t xml:space="preserve">T. S., </w:t>
      </w:r>
      <w:r w:rsidR="008D707D" w:rsidRPr="008D707D">
        <w:rPr>
          <w:rFonts w:ascii="High Tower Text" w:eastAsia="Arial" w:hAnsi="High Tower Text" w:cs="Arial"/>
          <w:i/>
          <w:color w:val="000000" w:themeColor="text1"/>
          <w:sz w:val="24"/>
          <w:szCs w:val="24"/>
          <w:lang w:val="en-US"/>
        </w:rPr>
        <w:t>et al.</w:t>
      </w:r>
      <w:r w:rsidR="008D707D" w:rsidRPr="008D707D">
        <w:rPr>
          <w:rFonts w:ascii="High Tower Text" w:eastAsia="Arial" w:hAnsi="High Tower Text" w:cs="Arial"/>
          <w:color w:val="000000" w:themeColor="text1"/>
          <w:sz w:val="24"/>
          <w:szCs w:val="24"/>
          <w:lang w:val="en-US"/>
        </w:rPr>
        <w:t xml:space="preserve">  Cardiac structure and function in anabolic-androgenic steroid users: a 16-year follow-up study. </w:t>
      </w:r>
      <w:r w:rsidR="008D707D" w:rsidRPr="008D707D">
        <w:rPr>
          <w:rFonts w:ascii="High Tower Text" w:eastAsia="Arial" w:hAnsi="High Tower Text" w:cs="Arial"/>
          <w:i/>
          <w:iCs/>
          <w:color w:val="000000" w:themeColor="text1"/>
          <w:sz w:val="24"/>
          <w:szCs w:val="24"/>
          <w:lang w:val="en-US"/>
        </w:rPr>
        <w:t>Open heart</w:t>
      </w:r>
      <w:r w:rsidR="008D707D" w:rsidRPr="008D707D">
        <w:rPr>
          <w:rFonts w:ascii="High Tower Text" w:eastAsia="Arial" w:hAnsi="High Tower Text" w:cs="Arial"/>
          <w:color w:val="000000" w:themeColor="text1"/>
          <w:sz w:val="24"/>
          <w:szCs w:val="24"/>
          <w:lang w:val="en-US"/>
        </w:rPr>
        <w:t xml:space="preserve">, </w:t>
      </w:r>
      <w:r w:rsidR="008D707D" w:rsidRPr="008D707D">
        <w:rPr>
          <w:rFonts w:ascii="High Tower Text" w:eastAsia="Arial" w:hAnsi="High Tower Text" w:cs="Arial"/>
          <w:i/>
          <w:iCs/>
          <w:color w:val="000000" w:themeColor="text1"/>
          <w:sz w:val="24"/>
          <w:szCs w:val="24"/>
          <w:lang w:val="en-US"/>
        </w:rPr>
        <w:t>12</w:t>
      </w:r>
      <w:r w:rsidR="008D707D" w:rsidRPr="008D707D">
        <w:rPr>
          <w:rFonts w:ascii="High Tower Text" w:eastAsia="Arial" w:hAnsi="High Tower Text" w:cs="Arial"/>
          <w:color w:val="000000" w:themeColor="text1"/>
          <w:sz w:val="24"/>
          <w:szCs w:val="24"/>
          <w:lang w:val="en-US"/>
        </w:rPr>
        <w:t xml:space="preserve">(2), e003376. </w:t>
      </w:r>
      <w:hyperlink r:id="rId11">
        <w:r w:rsidR="008D707D" w:rsidRPr="008D707D">
          <w:rPr>
            <w:rFonts w:ascii="High Tower Text" w:eastAsia="Arial" w:hAnsi="High Tower Text" w:cs="Arial"/>
            <w:color w:val="000000" w:themeColor="text1"/>
            <w:sz w:val="24"/>
            <w:szCs w:val="24"/>
            <w:lang w:val="en-US"/>
          </w:rPr>
          <w:t>https://doi.org/10.1136/openhrt-2025-003376</w:t>
        </w:r>
      </w:hyperlink>
      <w:r w:rsidR="008D707D" w:rsidRPr="008D707D">
        <w:rPr>
          <w:rFonts w:ascii="High Tower Text" w:eastAsia="Arial" w:hAnsi="High Tower Text" w:cs="Arial"/>
          <w:color w:val="000000" w:themeColor="text1"/>
          <w:sz w:val="24"/>
          <w:szCs w:val="24"/>
          <w:lang w:val="en-US"/>
        </w:rPr>
        <w:t>.  </w:t>
      </w:r>
    </w:p>
    <w:p w14:paraId="7F9E8088"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7EB5D0AC"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GURUMURTHY, S.; THACHIL, J. Thrombotic complications of glucocorticoids and anabolic steroids. Journal of Thrombosis and </w:t>
      </w:r>
      <w:proofErr w:type="spellStart"/>
      <w:r w:rsidRPr="008D707D">
        <w:rPr>
          <w:rFonts w:ascii="High Tower Text" w:eastAsia="Arial" w:hAnsi="High Tower Text" w:cs="Arial"/>
          <w:color w:val="000000" w:themeColor="text1"/>
          <w:sz w:val="24"/>
          <w:szCs w:val="24"/>
          <w:lang w:val="en-US"/>
        </w:rPr>
        <w:t>Haemostasis</w:t>
      </w:r>
      <w:proofErr w:type="spellEnd"/>
      <w:r w:rsidRPr="008D707D">
        <w:rPr>
          <w:rFonts w:ascii="High Tower Text" w:eastAsia="Arial" w:hAnsi="High Tower Text" w:cs="Arial"/>
          <w:color w:val="000000" w:themeColor="text1"/>
          <w:sz w:val="24"/>
          <w:szCs w:val="24"/>
          <w:lang w:val="en-US"/>
        </w:rPr>
        <w:t>, Hoboken, v. 23, n. 2, p. 1– 10, 2025</w:t>
      </w:r>
    </w:p>
    <w:p w14:paraId="20134CA6"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1F704104" w14:textId="77777777" w:rsidR="008D707D" w:rsidRPr="008D707D" w:rsidRDefault="008D707D" w:rsidP="008D707D">
      <w:pPr>
        <w:pStyle w:val="Normal1"/>
        <w:spacing w:after="0" w:line="240" w:lineRule="auto"/>
        <w:ind w:left="-2"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GUYDA, C. M.; CASTRO, A. B. J.; FERREIRA, A. L. C.; </w:t>
      </w:r>
      <w:r w:rsidRPr="008D707D">
        <w:rPr>
          <w:rFonts w:ascii="High Tower Text" w:eastAsia="Arial" w:hAnsi="High Tower Text" w:cs="Arial"/>
          <w:i/>
          <w:color w:val="000000" w:themeColor="text1"/>
          <w:sz w:val="24"/>
          <w:szCs w:val="24"/>
          <w:lang w:val="en-US"/>
        </w:rPr>
        <w:t>et al.</w:t>
      </w:r>
      <w:r w:rsidRPr="008D707D">
        <w:rPr>
          <w:rFonts w:ascii="High Tower Text" w:eastAsia="Arial" w:hAnsi="High Tower Text" w:cs="Arial"/>
          <w:color w:val="000000" w:themeColor="text1"/>
          <w:sz w:val="24"/>
          <w:szCs w:val="24"/>
          <w:lang w:val="en-US"/>
        </w:rPr>
        <w:t xml:space="preserve"> </w:t>
      </w:r>
      <w:r w:rsidRPr="008D707D">
        <w:rPr>
          <w:rFonts w:ascii="High Tower Text" w:eastAsia="Arial" w:hAnsi="High Tower Text" w:cs="Arial"/>
          <w:b/>
          <w:bCs/>
          <w:color w:val="000000" w:themeColor="text1"/>
          <w:sz w:val="24"/>
          <w:szCs w:val="24"/>
          <w:lang w:val="en-US"/>
        </w:rPr>
        <w:t>Effects of anabolic androgenic steroids in athletes on left ventricle systolic and diastolic function: a systematic review and meta-analysis.</w:t>
      </w:r>
      <w:r w:rsidRPr="008D707D">
        <w:rPr>
          <w:rFonts w:ascii="High Tower Text" w:eastAsia="Arial" w:hAnsi="High Tower Text" w:cs="Arial"/>
          <w:color w:val="000000" w:themeColor="text1"/>
          <w:sz w:val="24"/>
          <w:szCs w:val="24"/>
          <w:lang w:val="en-US"/>
        </w:rPr>
        <w:t xml:space="preserve"> </w:t>
      </w:r>
      <w:r w:rsidRPr="008D707D">
        <w:rPr>
          <w:rFonts w:ascii="High Tower Text" w:eastAsia="Arial" w:hAnsi="High Tower Text" w:cs="Arial"/>
          <w:i/>
          <w:iCs/>
          <w:color w:val="000000" w:themeColor="text1"/>
          <w:sz w:val="24"/>
          <w:szCs w:val="24"/>
          <w:lang w:val="en-US"/>
        </w:rPr>
        <w:t>Journal of the American College of Cardiology</w:t>
      </w:r>
      <w:r w:rsidRPr="008D707D">
        <w:rPr>
          <w:rFonts w:ascii="High Tower Text" w:eastAsia="Arial" w:hAnsi="High Tower Text" w:cs="Arial"/>
          <w:color w:val="000000" w:themeColor="text1"/>
          <w:sz w:val="24"/>
          <w:szCs w:val="24"/>
          <w:lang w:val="en-US"/>
        </w:rPr>
        <w:t xml:space="preserve">, v. 83, n. 13 Supplement, p. 1573, 2024. </w:t>
      </w:r>
    </w:p>
    <w:p w14:paraId="307AFF96"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79ABDBC1" w14:textId="77777777" w:rsidR="008D707D" w:rsidRPr="008D707D" w:rsidRDefault="008D707D" w:rsidP="008D707D">
      <w:pPr>
        <w:pStyle w:val="Normal1"/>
        <w:spacing w:after="0" w:line="240" w:lineRule="auto"/>
        <w:ind w:left="-2" w:firstLine="0"/>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KOTSIFAS, T.; </w:t>
      </w:r>
      <w:r w:rsidRPr="008D707D">
        <w:rPr>
          <w:rFonts w:ascii="High Tower Text" w:eastAsia="Arial" w:hAnsi="High Tower Text" w:cs="Arial"/>
          <w:i/>
          <w:color w:val="000000" w:themeColor="text1"/>
          <w:sz w:val="24"/>
          <w:szCs w:val="24"/>
        </w:rPr>
        <w:t>et al.</w:t>
      </w:r>
      <w:r w:rsidRPr="008D707D">
        <w:rPr>
          <w:rFonts w:ascii="High Tower Text" w:eastAsia="Arial" w:hAnsi="High Tower Text" w:cs="Arial"/>
          <w:color w:val="000000" w:themeColor="text1"/>
          <w:sz w:val="24"/>
          <w:szCs w:val="24"/>
        </w:rPr>
        <w:t xml:space="preserve"> Riscos Cardiovasculares e Mortalidade Associados ao Uso de Hormônios em Jovens Atletas: Uma Revisão </w:t>
      </w:r>
      <w:proofErr w:type="gramStart"/>
      <w:r w:rsidRPr="008D707D">
        <w:rPr>
          <w:rFonts w:ascii="High Tower Text" w:eastAsia="Arial" w:hAnsi="High Tower Text" w:cs="Arial"/>
          <w:color w:val="000000" w:themeColor="text1"/>
          <w:sz w:val="24"/>
          <w:szCs w:val="24"/>
        </w:rPr>
        <w:t>Literária .</w:t>
      </w:r>
      <w:proofErr w:type="gramEnd"/>
      <w:r w:rsidRPr="008D707D">
        <w:rPr>
          <w:rFonts w:ascii="High Tower Text" w:eastAsia="Arial" w:hAnsi="High Tower Text" w:cs="Arial"/>
          <w:color w:val="000000" w:themeColor="text1"/>
          <w:sz w:val="24"/>
          <w:szCs w:val="24"/>
        </w:rPr>
        <w:t xml:space="preserve"> </w:t>
      </w:r>
      <w:r w:rsidRPr="008D707D">
        <w:rPr>
          <w:rFonts w:ascii="High Tower Text" w:eastAsia="Arial" w:hAnsi="High Tower Text" w:cs="Arial"/>
          <w:b/>
          <w:bCs/>
          <w:color w:val="000000" w:themeColor="text1"/>
          <w:sz w:val="24"/>
          <w:szCs w:val="24"/>
          <w:lang w:val="en-US"/>
        </w:rPr>
        <w:t xml:space="preserve">Brazilian Journal of Implantology and Health </w:t>
      </w:r>
      <w:proofErr w:type="gramStart"/>
      <w:r w:rsidRPr="008D707D">
        <w:rPr>
          <w:rFonts w:ascii="High Tower Text" w:eastAsia="Arial" w:hAnsi="High Tower Text" w:cs="Arial"/>
          <w:b/>
          <w:bCs/>
          <w:color w:val="000000" w:themeColor="text1"/>
          <w:sz w:val="24"/>
          <w:szCs w:val="24"/>
          <w:lang w:val="en-US"/>
        </w:rPr>
        <w:t xml:space="preserve">Sciences </w:t>
      </w:r>
      <w:r w:rsidRPr="008D707D">
        <w:rPr>
          <w:rFonts w:ascii="High Tower Text" w:eastAsia="Arial" w:hAnsi="High Tower Text" w:cs="Arial"/>
          <w:color w:val="000000" w:themeColor="text1"/>
          <w:sz w:val="24"/>
          <w:szCs w:val="24"/>
          <w:lang w:val="en-US"/>
        </w:rPr>
        <w:t>,</w:t>
      </w:r>
      <w:proofErr w:type="gramEnd"/>
      <w:r w:rsidRPr="008D707D">
        <w:rPr>
          <w:rFonts w:ascii="High Tower Text" w:eastAsia="Arial" w:hAnsi="High Tower Text" w:cs="Arial"/>
          <w:color w:val="000000" w:themeColor="text1"/>
          <w:sz w:val="24"/>
          <w:szCs w:val="24"/>
          <w:lang w:val="en-US"/>
        </w:rPr>
        <w:t xml:space="preserve"> </w:t>
      </w:r>
      <w:r w:rsidRPr="008D707D">
        <w:rPr>
          <w:rFonts w:ascii="High Tower Text" w:eastAsia="Arial" w:hAnsi="High Tower Text" w:cs="Arial"/>
          <w:i/>
          <w:iCs/>
          <w:color w:val="000000" w:themeColor="text1"/>
          <w:sz w:val="24"/>
          <w:szCs w:val="24"/>
          <w:lang w:val="en-US"/>
        </w:rPr>
        <w:t>[S. l.]</w:t>
      </w:r>
      <w:r w:rsidRPr="008D707D">
        <w:rPr>
          <w:rFonts w:ascii="High Tower Text" w:eastAsia="Arial" w:hAnsi="High Tower Text" w:cs="Arial"/>
          <w:color w:val="000000" w:themeColor="text1"/>
          <w:sz w:val="24"/>
          <w:szCs w:val="24"/>
          <w:lang w:val="en-US"/>
        </w:rPr>
        <w:t xml:space="preserve">, v. 8, n. 3, p. 544–553, 2026. </w:t>
      </w:r>
      <w:r w:rsidRPr="008D707D">
        <w:rPr>
          <w:rFonts w:ascii="High Tower Text" w:eastAsia="Arial" w:hAnsi="High Tower Text" w:cs="Arial"/>
          <w:color w:val="000000" w:themeColor="text1"/>
          <w:sz w:val="24"/>
          <w:szCs w:val="24"/>
        </w:rPr>
        <w:t xml:space="preserve">DOI: 10.36557/2674-8169.2026v8n3p544-553. </w:t>
      </w:r>
    </w:p>
    <w:p w14:paraId="511A7924" w14:textId="77777777" w:rsidR="008D707D" w:rsidRPr="008D707D" w:rsidRDefault="008D707D" w:rsidP="008D707D">
      <w:pPr>
        <w:pStyle w:val="Normal1"/>
        <w:spacing w:after="0" w:line="240" w:lineRule="auto"/>
        <w:ind w:left="-2" w:firstLine="0"/>
        <w:jc w:val="both"/>
        <w:rPr>
          <w:rFonts w:ascii="High Tower Text" w:eastAsia="Arial" w:hAnsi="High Tower Text" w:cs="Arial"/>
          <w:color w:val="000000" w:themeColor="text1"/>
          <w:sz w:val="24"/>
          <w:szCs w:val="24"/>
        </w:rPr>
      </w:pPr>
    </w:p>
    <w:p w14:paraId="7FA647FF"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rPr>
        <w:t xml:space="preserve">LOPES, Larissa. Anabolizantes comprometem funcionalidade do “colesterol bom”. </w:t>
      </w:r>
      <w:r w:rsidRPr="008D707D">
        <w:rPr>
          <w:rFonts w:ascii="High Tower Text" w:eastAsia="Arial" w:hAnsi="High Tower Text" w:cs="Arial"/>
          <w:i/>
          <w:iCs/>
          <w:color w:val="000000" w:themeColor="text1"/>
          <w:sz w:val="24"/>
          <w:szCs w:val="24"/>
        </w:rPr>
        <w:t>Jornal da USP</w:t>
      </w:r>
      <w:r w:rsidRPr="008D707D">
        <w:rPr>
          <w:rFonts w:ascii="High Tower Text" w:eastAsia="Arial" w:hAnsi="High Tower Text" w:cs="Arial"/>
          <w:color w:val="000000" w:themeColor="text1"/>
          <w:sz w:val="24"/>
          <w:szCs w:val="24"/>
        </w:rPr>
        <w:t xml:space="preserve">, 28 nov. 2017. Disponível em: </w:t>
      </w:r>
      <w:hyperlink r:id="rId12">
        <w:r w:rsidRPr="008D707D">
          <w:rPr>
            <w:rFonts w:ascii="High Tower Text" w:eastAsia="Arial" w:hAnsi="High Tower Text" w:cs="Arial"/>
            <w:color w:val="000000" w:themeColor="text1"/>
            <w:sz w:val="24"/>
            <w:szCs w:val="24"/>
            <w:highlight w:val="white"/>
          </w:rPr>
          <w:t>https://jornal.usp.br/ciencias/ciencias-da-saude/ciencias-2811-anabolizantes-comprometem-funcionalidade-do-colesterol-bom/</w:t>
        </w:r>
      </w:hyperlink>
      <w:r w:rsidRPr="008D707D">
        <w:rPr>
          <w:rFonts w:ascii="High Tower Text" w:eastAsia="Arial" w:hAnsi="High Tower Text" w:cs="Arial"/>
          <w:color w:val="000000" w:themeColor="text1"/>
          <w:sz w:val="24"/>
          <w:szCs w:val="24"/>
          <w:highlight w:val="white"/>
        </w:rPr>
        <w:t xml:space="preserve"> . </w:t>
      </w:r>
      <w:proofErr w:type="spellStart"/>
      <w:r w:rsidRPr="008D707D">
        <w:rPr>
          <w:rFonts w:ascii="High Tower Text" w:eastAsia="Arial" w:hAnsi="High Tower Text" w:cs="Arial"/>
          <w:color w:val="000000" w:themeColor="text1"/>
          <w:sz w:val="24"/>
          <w:szCs w:val="24"/>
          <w:highlight w:val="white"/>
          <w:lang w:val="en-US"/>
        </w:rPr>
        <w:t>Acesso</w:t>
      </w:r>
      <w:proofErr w:type="spellEnd"/>
      <w:r w:rsidRPr="008D707D">
        <w:rPr>
          <w:rFonts w:ascii="High Tower Text" w:eastAsia="Arial" w:hAnsi="High Tower Text" w:cs="Arial"/>
          <w:color w:val="000000" w:themeColor="text1"/>
          <w:sz w:val="24"/>
          <w:szCs w:val="24"/>
          <w:highlight w:val="white"/>
          <w:lang w:val="en-US"/>
        </w:rPr>
        <w:t xml:space="preserve"> </w:t>
      </w:r>
      <w:proofErr w:type="spellStart"/>
      <w:r w:rsidRPr="008D707D">
        <w:rPr>
          <w:rFonts w:ascii="High Tower Text" w:eastAsia="Arial" w:hAnsi="High Tower Text" w:cs="Arial"/>
          <w:color w:val="000000" w:themeColor="text1"/>
          <w:sz w:val="24"/>
          <w:szCs w:val="24"/>
          <w:highlight w:val="white"/>
          <w:lang w:val="en-US"/>
        </w:rPr>
        <w:t>em</w:t>
      </w:r>
      <w:proofErr w:type="spellEnd"/>
      <w:r w:rsidRPr="008D707D">
        <w:rPr>
          <w:rFonts w:ascii="High Tower Text" w:eastAsia="Arial" w:hAnsi="High Tower Text" w:cs="Arial"/>
          <w:color w:val="000000" w:themeColor="text1"/>
          <w:sz w:val="24"/>
          <w:szCs w:val="24"/>
          <w:highlight w:val="white"/>
          <w:lang w:val="en-US"/>
        </w:rPr>
        <w:t>: 10 ago. 2026</w:t>
      </w:r>
    </w:p>
    <w:p w14:paraId="2924ED63"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08B3AA3D" w14:textId="0D8AB723" w:rsidR="008D707D" w:rsidRPr="008D707D" w:rsidRDefault="00223626"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highlight w:val="white"/>
          <w:lang w:val="en-US"/>
        </w:rPr>
        <w:t xml:space="preserve">RAPARELLI </w:t>
      </w:r>
      <w:r w:rsidR="008D707D" w:rsidRPr="008D707D">
        <w:rPr>
          <w:rFonts w:ascii="High Tower Text" w:eastAsia="Arial" w:hAnsi="High Tower Text" w:cs="Arial"/>
          <w:color w:val="000000" w:themeColor="text1"/>
          <w:sz w:val="24"/>
          <w:szCs w:val="24"/>
          <w:highlight w:val="white"/>
          <w:lang w:val="en-US"/>
        </w:rPr>
        <w:t xml:space="preserve">V, </w:t>
      </w:r>
      <w:r w:rsidR="008D707D" w:rsidRPr="008D707D">
        <w:rPr>
          <w:rFonts w:ascii="High Tower Text" w:eastAsia="Arial" w:hAnsi="High Tower Text" w:cs="Arial"/>
          <w:i/>
          <w:color w:val="000000" w:themeColor="text1"/>
          <w:sz w:val="24"/>
          <w:szCs w:val="24"/>
          <w:highlight w:val="white"/>
          <w:lang w:val="en-US"/>
        </w:rPr>
        <w:t>et al.</w:t>
      </w:r>
      <w:r w:rsidR="008D707D" w:rsidRPr="008D707D">
        <w:rPr>
          <w:rFonts w:ascii="High Tower Text" w:eastAsia="Arial" w:hAnsi="High Tower Text" w:cs="Arial"/>
          <w:color w:val="000000" w:themeColor="text1"/>
          <w:sz w:val="24"/>
          <w:szCs w:val="24"/>
          <w:highlight w:val="white"/>
          <w:lang w:val="en-US"/>
        </w:rPr>
        <w:t xml:space="preserve">  Testosterone-to-estradiol ratio and platelet thromboxane release in ischemic heart disease: the EVA project. J Endocrinol Invest. 2022 Jul;45(7):1367-1377. </w:t>
      </w:r>
      <w:proofErr w:type="spellStart"/>
      <w:r w:rsidR="008D707D" w:rsidRPr="008D707D">
        <w:rPr>
          <w:rFonts w:ascii="High Tower Text" w:eastAsia="Arial" w:hAnsi="High Tower Text" w:cs="Arial"/>
          <w:color w:val="000000" w:themeColor="text1"/>
          <w:sz w:val="24"/>
          <w:szCs w:val="24"/>
          <w:highlight w:val="white"/>
          <w:lang w:val="en-US"/>
        </w:rPr>
        <w:t>doi</w:t>
      </w:r>
      <w:proofErr w:type="spellEnd"/>
      <w:r w:rsidR="008D707D" w:rsidRPr="008D707D">
        <w:rPr>
          <w:rFonts w:ascii="High Tower Text" w:eastAsia="Arial" w:hAnsi="High Tower Text" w:cs="Arial"/>
          <w:color w:val="000000" w:themeColor="text1"/>
          <w:sz w:val="24"/>
          <w:szCs w:val="24"/>
          <w:highlight w:val="white"/>
          <w:lang w:val="en-US"/>
        </w:rPr>
        <w:t xml:space="preserve">: 10.1007/s40618-022-01771-0. </w:t>
      </w:r>
      <w:proofErr w:type="spellStart"/>
      <w:r w:rsidR="008D707D" w:rsidRPr="008D707D">
        <w:rPr>
          <w:rFonts w:ascii="High Tower Text" w:eastAsia="Arial" w:hAnsi="High Tower Text" w:cs="Arial"/>
          <w:color w:val="000000" w:themeColor="text1"/>
          <w:sz w:val="24"/>
          <w:szCs w:val="24"/>
          <w:highlight w:val="white"/>
          <w:lang w:val="en-US"/>
        </w:rPr>
        <w:t>Epub</w:t>
      </w:r>
      <w:proofErr w:type="spellEnd"/>
      <w:r w:rsidR="008D707D" w:rsidRPr="008D707D">
        <w:rPr>
          <w:rFonts w:ascii="High Tower Text" w:eastAsia="Arial" w:hAnsi="High Tower Text" w:cs="Arial"/>
          <w:color w:val="000000" w:themeColor="text1"/>
          <w:sz w:val="24"/>
          <w:szCs w:val="24"/>
          <w:highlight w:val="white"/>
          <w:lang w:val="en-US"/>
        </w:rPr>
        <w:t xml:space="preserve"> 2022 Mar 9. PMID: 35262860; PMCID: PMC9184432.</w:t>
      </w:r>
    </w:p>
    <w:p w14:paraId="6F968D45"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7DB68939" w14:textId="2ED75EFB" w:rsidR="008D707D" w:rsidRPr="008D707D" w:rsidRDefault="00223626"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r w:rsidRPr="00223626">
        <w:rPr>
          <w:rFonts w:ascii="High Tower Text" w:eastAsia="Arial" w:hAnsi="High Tower Text" w:cs="Arial"/>
          <w:color w:val="000000" w:themeColor="text1"/>
          <w:sz w:val="24"/>
          <w:szCs w:val="24"/>
        </w:rPr>
        <w:t>SHANKARA</w:t>
      </w:r>
      <w:r w:rsidR="008D707D" w:rsidRPr="00223626">
        <w:rPr>
          <w:rFonts w:ascii="High Tower Text" w:eastAsia="Arial" w:hAnsi="High Tower Text" w:cs="Arial"/>
          <w:color w:val="000000" w:themeColor="text1"/>
          <w:sz w:val="24"/>
          <w:szCs w:val="24"/>
        </w:rPr>
        <w:t>-</w:t>
      </w:r>
      <w:proofErr w:type="spellStart"/>
      <w:r w:rsidR="008D707D" w:rsidRPr="00223626">
        <w:rPr>
          <w:rFonts w:ascii="High Tower Text" w:eastAsia="Arial" w:hAnsi="High Tower Text" w:cs="Arial"/>
          <w:color w:val="000000" w:themeColor="text1"/>
          <w:sz w:val="24"/>
          <w:szCs w:val="24"/>
        </w:rPr>
        <w:t>Narayana</w:t>
      </w:r>
      <w:proofErr w:type="spellEnd"/>
      <w:r w:rsidR="008D707D" w:rsidRPr="00223626">
        <w:rPr>
          <w:rFonts w:ascii="High Tower Text" w:eastAsia="Arial" w:hAnsi="High Tower Text" w:cs="Arial"/>
          <w:color w:val="000000" w:themeColor="text1"/>
          <w:sz w:val="24"/>
          <w:szCs w:val="24"/>
        </w:rPr>
        <w:t xml:space="preserve">, N, </w:t>
      </w:r>
      <w:r w:rsidR="008D707D" w:rsidRPr="00223626">
        <w:rPr>
          <w:rFonts w:ascii="High Tower Text" w:eastAsia="Arial" w:hAnsi="High Tower Text" w:cs="Arial"/>
          <w:i/>
          <w:color w:val="000000" w:themeColor="text1"/>
          <w:sz w:val="24"/>
          <w:szCs w:val="24"/>
        </w:rPr>
        <w:t>et al.</w:t>
      </w:r>
      <w:r w:rsidR="008D707D" w:rsidRPr="00223626">
        <w:rPr>
          <w:rFonts w:ascii="High Tower Text" w:eastAsia="Arial" w:hAnsi="High Tower Text" w:cs="Arial"/>
          <w:color w:val="000000" w:themeColor="text1"/>
          <w:sz w:val="24"/>
          <w:szCs w:val="24"/>
        </w:rPr>
        <w:t xml:space="preserve"> </w:t>
      </w:r>
      <w:r w:rsidR="008D707D" w:rsidRPr="008D707D">
        <w:rPr>
          <w:rFonts w:ascii="High Tower Text" w:eastAsia="Arial" w:hAnsi="High Tower Text" w:cs="Arial"/>
          <w:color w:val="000000" w:themeColor="text1"/>
          <w:sz w:val="24"/>
          <w:szCs w:val="24"/>
          <w:lang w:val="en-US"/>
        </w:rPr>
        <w:t xml:space="preserve">Rate and Extent of Recovery from Reproductive and Cardiac Dysfunction Due to Androgen Abuse in Men. </w:t>
      </w:r>
      <w:r w:rsidR="008D707D" w:rsidRPr="008D707D">
        <w:rPr>
          <w:rFonts w:ascii="High Tower Text" w:eastAsia="Arial" w:hAnsi="High Tower Text" w:cs="Arial"/>
          <w:i/>
          <w:iCs/>
          <w:color w:val="000000" w:themeColor="text1"/>
          <w:sz w:val="24"/>
          <w:szCs w:val="24"/>
          <w:lang w:val="en-US"/>
        </w:rPr>
        <w:t>The Journal of clinical endocrinology and metabolism</w:t>
      </w:r>
      <w:r w:rsidR="008D707D" w:rsidRPr="008D707D">
        <w:rPr>
          <w:rFonts w:ascii="High Tower Text" w:eastAsia="Arial" w:hAnsi="High Tower Text" w:cs="Arial"/>
          <w:color w:val="000000" w:themeColor="text1"/>
          <w:sz w:val="24"/>
          <w:szCs w:val="24"/>
          <w:lang w:val="en-US"/>
        </w:rPr>
        <w:t xml:space="preserve">, </w:t>
      </w:r>
      <w:r w:rsidR="008D707D" w:rsidRPr="008D707D">
        <w:rPr>
          <w:rFonts w:ascii="High Tower Text" w:eastAsia="Arial" w:hAnsi="High Tower Text" w:cs="Arial"/>
          <w:i/>
          <w:iCs/>
          <w:color w:val="000000" w:themeColor="text1"/>
          <w:sz w:val="24"/>
          <w:szCs w:val="24"/>
          <w:lang w:val="en-US"/>
        </w:rPr>
        <w:t>105</w:t>
      </w:r>
      <w:r w:rsidR="008D707D" w:rsidRPr="008D707D">
        <w:rPr>
          <w:rFonts w:ascii="High Tower Text" w:eastAsia="Arial" w:hAnsi="High Tower Text" w:cs="Arial"/>
          <w:color w:val="000000" w:themeColor="text1"/>
          <w:sz w:val="24"/>
          <w:szCs w:val="24"/>
          <w:lang w:val="en-US"/>
        </w:rPr>
        <w:t xml:space="preserve">(6), dgz324. </w:t>
      </w:r>
      <w:hyperlink r:id="rId13" w:history="1">
        <w:r w:rsidR="008D707D" w:rsidRPr="008D707D">
          <w:rPr>
            <w:rStyle w:val="Hyperlink"/>
            <w:rFonts w:ascii="High Tower Text" w:eastAsia="Arial" w:hAnsi="High Tower Text" w:cs="Arial"/>
            <w:color w:val="000000" w:themeColor="text1"/>
            <w:sz w:val="24"/>
            <w:szCs w:val="24"/>
            <w:u w:val="none"/>
            <w:lang w:val="en-US"/>
          </w:rPr>
          <w:t>https://doi.org/10.1210/clinem/dgz324</w:t>
        </w:r>
      </w:hyperlink>
      <w:r w:rsidR="008D707D" w:rsidRPr="008D707D">
        <w:rPr>
          <w:rFonts w:ascii="High Tower Text" w:eastAsia="Arial" w:hAnsi="High Tower Text" w:cs="Arial"/>
          <w:color w:val="000000" w:themeColor="text1"/>
          <w:sz w:val="24"/>
          <w:szCs w:val="24"/>
          <w:lang w:val="en-US"/>
        </w:rPr>
        <w:t>.</w:t>
      </w:r>
    </w:p>
    <w:p w14:paraId="5EBB44F8"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5151C246"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 xml:space="preserve">SILVA, K.  V. N., </w:t>
      </w:r>
      <w:r w:rsidRPr="008D707D">
        <w:rPr>
          <w:rFonts w:ascii="High Tower Text" w:eastAsia="Arial" w:hAnsi="High Tower Text" w:cs="Arial"/>
          <w:i/>
          <w:color w:val="000000" w:themeColor="text1"/>
          <w:sz w:val="24"/>
          <w:szCs w:val="24"/>
        </w:rPr>
        <w:t xml:space="preserve">et </w:t>
      </w:r>
      <w:proofErr w:type="spellStart"/>
      <w:proofErr w:type="gramStart"/>
      <w:r w:rsidRPr="008D707D">
        <w:rPr>
          <w:rFonts w:ascii="High Tower Text" w:eastAsia="Arial" w:hAnsi="High Tower Text" w:cs="Arial"/>
          <w:i/>
          <w:color w:val="000000" w:themeColor="text1"/>
          <w:sz w:val="24"/>
          <w:szCs w:val="24"/>
        </w:rPr>
        <w:t>al.</w:t>
      </w:r>
      <w:r w:rsidRPr="008D707D">
        <w:rPr>
          <w:rFonts w:ascii="High Tower Text" w:eastAsia="Arial" w:hAnsi="High Tower Text" w:cs="Arial"/>
          <w:color w:val="000000" w:themeColor="text1"/>
          <w:sz w:val="24"/>
          <w:szCs w:val="24"/>
        </w:rPr>
        <w:t>.Saúde</w:t>
      </w:r>
      <w:proofErr w:type="spellEnd"/>
      <w:proofErr w:type="gramEnd"/>
      <w:r w:rsidRPr="008D707D">
        <w:rPr>
          <w:rFonts w:ascii="High Tower Text" w:eastAsia="Arial" w:hAnsi="High Tower Text" w:cs="Arial"/>
          <w:color w:val="000000" w:themeColor="text1"/>
          <w:sz w:val="24"/>
          <w:szCs w:val="24"/>
        </w:rPr>
        <w:t xml:space="preserve"> em jogo: repercussões do uso de esteroides anabolizantes entre jovens adultos – uma revisão sistemática. </w:t>
      </w:r>
      <w:proofErr w:type="spellStart"/>
      <w:r w:rsidRPr="008D707D">
        <w:rPr>
          <w:rFonts w:ascii="High Tower Text" w:eastAsia="Arial" w:hAnsi="High Tower Text" w:cs="Arial"/>
          <w:i/>
          <w:iCs/>
          <w:color w:val="000000" w:themeColor="text1"/>
          <w:sz w:val="24"/>
          <w:szCs w:val="24"/>
        </w:rPr>
        <w:t>Contribuciones</w:t>
      </w:r>
      <w:proofErr w:type="spellEnd"/>
      <w:r w:rsidRPr="008D707D">
        <w:rPr>
          <w:rFonts w:ascii="High Tower Text" w:eastAsia="Arial" w:hAnsi="High Tower Text" w:cs="Arial"/>
          <w:i/>
          <w:iCs/>
          <w:color w:val="000000" w:themeColor="text1"/>
          <w:sz w:val="24"/>
          <w:szCs w:val="24"/>
        </w:rPr>
        <w:t xml:space="preserve"> a </w:t>
      </w:r>
      <w:proofErr w:type="spellStart"/>
      <w:r w:rsidRPr="008D707D">
        <w:rPr>
          <w:rFonts w:ascii="High Tower Text" w:eastAsia="Arial" w:hAnsi="High Tower Text" w:cs="Arial"/>
          <w:i/>
          <w:iCs/>
          <w:color w:val="000000" w:themeColor="text1"/>
          <w:sz w:val="24"/>
          <w:szCs w:val="24"/>
        </w:rPr>
        <w:t>las</w:t>
      </w:r>
      <w:proofErr w:type="spellEnd"/>
      <w:r w:rsidRPr="008D707D">
        <w:rPr>
          <w:rFonts w:ascii="High Tower Text" w:eastAsia="Arial" w:hAnsi="High Tower Text" w:cs="Arial"/>
          <w:i/>
          <w:iCs/>
          <w:color w:val="000000" w:themeColor="text1"/>
          <w:sz w:val="24"/>
          <w:szCs w:val="24"/>
        </w:rPr>
        <w:t xml:space="preserve"> </w:t>
      </w:r>
      <w:proofErr w:type="spellStart"/>
      <w:r w:rsidRPr="008D707D">
        <w:rPr>
          <w:rFonts w:ascii="High Tower Text" w:eastAsia="Arial" w:hAnsi="High Tower Text" w:cs="Arial"/>
          <w:i/>
          <w:iCs/>
          <w:color w:val="000000" w:themeColor="text1"/>
          <w:sz w:val="24"/>
          <w:szCs w:val="24"/>
        </w:rPr>
        <w:t>Ciencias</w:t>
      </w:r>
      <w:proofErr w:type="spellEnd"/>
      <w:r w:rsidRPr="008D707D">
        <w:rPr>
          <w:rFonts w:ascii="High Tower Text" w:eastAsia="Arial" w:hAnsi="High Tower Text" w:cs="Arial"/>
          <w:i/>
          <w:iCs/>
          <w:color w:val="000000" w:themeColor="text1"/>
          <w:sz w:val="24"/>
          <w:szCs w:val="24"/>
        </w:rPr>
        <w:t xml:space="preserve"> Sociales</w:t>
      </w:r>
      <w:r w:rsidRPr="008D707D">
        <w:rPr>
          <w:rFonts w:ascii="High Tower Text" w:eastAsia="Arial" w:hAnsi="High Tower Text" w:cs="Arial"/>
          <w:color w:val="000000" w:themeColor="text1"/>
          <w:sz w:val="24"/>
          <w:szCs w:val="24"/>
        </w:rPr>
        <w:t>, v. 19, n. 5, e24283, 2026.</w:t>
      </w:r>
    </w:p>
    <w:p w14:paraId="4896CBA6"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rPr>
      </w:pPr>
    </w:p>
    <w:p w14:paraId="5C0F7F70"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rPr>
      </w:pPr>
      <w:r w:rsidRPr="008D707D">
        <w:rPr>
          <w:rFonts w:ascii="High Tower Text" w:eastAsia="Arial" w:hAnsi="High Tower Text" w:cs="Arial"/>
          <w:color w:val="000000" w:themeColor="text1"/>
          <w:sz w:val="24"/>
          <w:szCs w:val="24"/>
        </w:rPr>
        <w:t>SOCIEDADE BRASILEIRA DE ENDOCRINOLOGIA E METABOLOGIA. Posicionamento sobre o uso de esteroides anabolizantes</w:t>
      </w:r>
      <w:r w:rsidRPr="008D707D">
        <w:rPr>
          <w:rFonts w:ascii="High Tower Text" w:eastAsia="Arial" w:hAnsi="High Tower Text" w:cs="Arial"/>
          <w:b/>
          <w:bCs/>
          <w:color w:val="000000" w:themeColor="text1"/>
          <w:sz w:val="24"/>
          <w:szCs w:val="24"/>
        </w:rPr>
        <w:t>.</w:t>
      </w:r>
      <w:r w:rsidRPr="008D707D">
        <w:rPr>
          <w:rFonts w:ascii="High Tower Text" w:eastAsia="Arial" w:hAnsi="High Tower Text" w:cs="Arial"/>
          <w:color w:val="000000" w:themeColor="text1"/>
          <w:sz w:val="24"/>
          <w:szCs w:val="24"/>
        </w:rPr>
        <w:t xml:space="preserve"> Rio de Janeiro, 15 abr. 2024</w:t>
      </w:r>
    </w:p>
    <w:p w14:paraId="5998C740"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rPr>
      </w:pPr>
    </w:p>
    <w:p w14:paraId="5520BABD"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rPr>
        <w:t xml:space="preserve">SPINDOLA, R. D. M. C.; </w:t>
      </w:r>
      <w:r w:rsidRPr="008D707D">
        <w:rPr>
          <w:rFonts w:ascii="High Tower Text" w:eastAsia="Arial" w:hAnsi="High Tower Text" w:cs="Arial"/>
          <w:i/>
          <w:color w:val="000000" w:themeColor="text1"/>
          <w:sz w:val="24"/>
          <w:szCs w:val="24"/>
        </w:rPr>
        <w:t xml:space="preserve">et </w:t>
      </w:r>
      <w:proofErr w:type="gramStart"/>
      <w:r w:rsidRPr="008D707D">
        <w:rPr>
          <w:rFonts w:ascii="High Tower Text" w:eastAsia="Arial" w:hAnsi="High Tower Text" w:cs="Arial"/>
          <w:i/>
          <w:color w:val="000000" w:themeColor="text1"/>
          <w:sz w:val="24"/>
          <w:szCs w:val="24"/>
        </w:rPr>
        <w:t>al.</w:t>
      </w:r>
      <w:r w:rsidRPr="008D707D">
        <w:rPr>
          <w:rFonts w:ascii="High Tower Text" w:eastAsia="Arial" w:hAnsi="High Tower Text" w:cs="Arial"/>
          <w:color w:val="000000" w:themeColor="text1"/>
          <w:sz w:val="24"/>
          <w:szCs w:val="24"/>
        </w:rPr>
        <w:t>.</w:t>
      </w:r>
      <w:proofErr w:type="gramEnd"/>
      <w:r w:rsidRPr="008D707D">
        <w:rPr>
          <w:rFonts w:ascii="High Tower Text" w:eastAsia="Arial" w:hAnsi="High Tower Text" w:cs="Arial"/>
          <w:color w:val="000000" w:themeColor="text1"/>
          <w:sz w:val="24"/>
          <w:szCs w:val="24"/>
        </w:rPr>
        <w:t xml:space="preserve"> C. O IMPACTO DO USO DE ESTEROIDES ANABOLIZANTES NA SAÚDE CARDIOVASCULAR ANÁLISE DOS RISCOS E CONSEQUÊNCIAS PARA A SAÚDE. </w:t>
      </w:r>
      <w:r w:rsidRPr="008D707D">
        <w:rPr>
          <w:rFonts w:ascii="High Tower Text" w:eastAsia="Arial" w:hAnsi="High Tower Text" w:cs="Arial"/>
          <w:b/>
          <w:bCs/>
          <w:color w:val="000000" w:themeColor="text1"/>
          <w:sz w:val="24"/>
          <w:szCs w:val="24"/>
          <w:lang w:val="en-US"/>
        </w:rPr>
        <w:t xml:space="preserve">Brazilian Journal of Implantology and Health </w:t>
      </w:r>
      <w:proofErr w:type="gramStart"/>
      <w:r w:rsidRPr="008D707D">
        <w:rPr>
          <w:rFonts w:ascii="High Tower Text" w:eastAsia="Arial" w:hAnsi="High Tower Text" w:cs="Arial"/>
          <w:b/>
          <w:bCs/>
          <w:color w:val="000000" w:themeColor="text1"/>
          <w:sz w:val="24"/>
          <w:szCs w:val="24"/>
          <w:lang w:val="en-US"/>
        </w:rPr>
        <w:t>Sciences </w:t>
      </w:r>
      <w:r w:rsidRPr="008D707D">
        <w:rPr>
          <w:rFonts w:ascii="High Tower Text" w:eastAsia="Arial" w:hAnsi="High Tower Text" w:cs="Arial"/>
          <w:color w:val="000000" w:themeColor="text1"/>
          <w:sz w:val="24"/>
          <w:szCs w:val="24"/>
          <w:lang w:val="en-US"/>
        </w:rPr>
        <w:t>,</w:t>
      </w:r>
      <w:proofErr w:type="gramEnd"/>
      <w:r w:rsidRPr="008D707D">
        <w:rPr>
          <w:rFonts w:ascii="High Tower Text" w:eastAsia="Arial" w:hAnsi="High Tower Text" w:cs="Arial"/>
          <w:color w:val="000000" w:themeColor="text1"/>
          <w:sz w:val="24"/>
          <w:szCs w:val="24"/>
          <w:lang w:val="en-US"/>
        </w:rPr>
        <w:t> </w:t>
      </w:r>
      <w:r w:rsidRPr="008D707D">
        <w:rPr>
          <w:rFonts w:ascii="High Tower Text" w:eastAsia="Arial" w:hAnsi="High Tower Text" w:cs="Arial"/>
          <w:i/>
          <w:iCs/>
          <w:color w:val="000000" w:themeColor="text1"/>
          <w:sz w:val="24"/>
          <w:szCs w:val="24"/>
          <w:lang w:val="en-US"/>
        </w:rPr>
        <w:t>[S. l.]</w:t>
      </w:r>
      <w:r w:rsidRPr="008D707D">
        <w:rPr>
          <w:rFonts w:ascii="High Tower Text" w:eastAsia="Arial" w:hAnsi="High Tower Text" w:cs="Arial"/>
          <w:color w:val="000000" w:themeColor="text1"/>
          <w:sz w:val="24"/>
          <w:szCs w:val="24"/>
          <w:lang w:val="en-US"/>
        </w:rPr>
        <w:t xml:space="preserve">, v. 8, n. 5, p. 223–241, 2026. DOI: 10.36557/2674-8169.2026v8n5p223-241. </w:t>
      </w:r>
    </w:p>
    <w:p w14:paraId="63A8D25A"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5E9AC3E6" w14:textId="640D1B08" w:rsidR="008D707D" w:rsidRPr="008D707D" w:rsidRDefault="00223626" w:rsidP="008D707D">
      <w:pPr>
        <w:pStyle w:val="Normal1"/>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TINH-HAI </w:t>
      </w:r>
      <w:r w:rsidR="008D707D" w:rsidRPr="008D707D">
        <w:rPr>
          <w:rFonts w:ascii="High Tower Text" w:eastAsia="Arial" w:hAnsi="High Tower Text" w:cs="Arial"/>
          <w:color w:val="000000" w:themeColor="text1"/>
          <w:sz w:val="24"/>
          <w:szCs w:val="24"/>
          <w:lang w:val="en-US"/>
        </w:rPr>
        <w:t xml:space="preserve">Collet, </w:t>
      </w:r>
      <w:r w:rsidR="008D707D" w:rsidRPr="008D707D">
        <w:rPr>
          <w:rFonts w:ascii="High Tower Text" w:eastAsia="Arial" w:hAnsi="High Tower Text" w:cs="Arial"/>
          <w:i/>
          <w:color w:val="000000" w:themeColor="text1"/>
          <w:sz w:val="24"/>
          <w:szCs w:val="24"/>
          <w:lang w:val="en-US"/>
        </w:rPr>
        <w:t>et al.</w:t>
      </w:r>
      <w:r w:rsidR="008D707D" w:rsidRPr="008D707D">
        <w:rPr>
          <w:rFonts w:ascii="High Tower Text" w:eastAsia="Arial" w:hAnsi="High Tower Text" w:cs="Arial"/>
          <w:color w:val="000000" w:themeColor="text1"/>
          <w:sz w:val="24"/>
          <w:szCs w:val="24"/>
          <w:lang w:val="en-US"/>
        </w:rPr>
        <w:t xml:space="preserve"> Endogenous Testosterone Levels and the Risk of Incident Cardiovascular Events in Elderly Men: The </w:t>
      </w:r>
      <w:proofErr w:type="spellStart"/>
      <w:r w:rsidR="008D707D" w:rsidRPr="008D707D">
        <w:rPr>
          <w:rFonts w:ascii="High Tower Text" w:eastAsia="Arial" w:hAnsi="High Tower Text" w:cs="Arial"/>
          <w:color w:val="000000" w:themeColor="text1"/>
          <w:sz w:val="24"/>
          <w:szCs w:val="24"/>
          <w:lang w:val="en-US"/>
        </w:rPr>
        <w:t>MrOS</w:t>
      </w:r>
      <w:proofErr w:type="spellEnd"/>
      <w:r w:rsidR="008D707D" w:rsidRPr="008D707D">
        <w:rPr>
          <w:rFonts w:ascii="High Tower Text" w:eastAsia="Arial" w:hAnsi="High Tower Text" w:cs="Arial"/>
          <w:color w:val="000000" w:themeColor="text1"/>
          <w:sz w:val="24"/>
          <w:szCs w:val="24"/>
          <w:lang w:val="en-US"/>
        </w:rPr>
        <w:t xml:space="preserve"> Prospective Study, </w:t>
      </w:r>
      <w:r w:rsidR="008D707D" w:rsidRPr="008D707D">
        <w:rPr>
          <w:rFonts w:ascii="High Tower Text" w:eastAsia="Arial" w:hAnsi="High Tower Text" w:cs="Arial"/>
          <w:i/>
          <w:iCs/>
          <w:color w:val="000000" w:themeColor="text1"/>
          <w:sz w:val="24"/>
          <w:szCs w:val="24"/>
          <w:lang w:val="en-US"/>
        </w:rPr>
        <w:t>Journal of the Endocrine Society</w:t>
      </w:r>
      <w:r w:rsidR="008D707D" w:rsidRPr="008D707D">
        <w:rPr>
          <w:rFonts w:ascii="High Tower Text" w:eastAsia="Arial" w:hAnsi="High Tower Text" w:cs="Arial"/>
          <w:color w:val="000000" w:themeColor="text1"/>
          <w:sz w:val="24"/>
          <w:szCs w:val="24"/>
          <w:lang w:val="en-US"/>
        </w:rPr>
        <w:t xml:space="preserve">, Volume 4, Issue 5, May 2020, bvaa038, </w:t>
      </w:r>
      <w:hyperlink r:id="rId14">
        <w:r w:rsidR="008D707D" w:rsidRPr="008D707D">
          <w:rPr>
            <w:rFonts w:ascii="High Tower Text" w:eastAsia="Arial" w:hAnsi="High Tower Text" w:cs="Arial"/>
            <w:color w:val="000000" w:themeColor="text1"/>
            <w:sz w:val="24"/>
            <w:szCs w:val="24"/>
            <w:lang w:val="en-US"/>
          </w:rPr>
          <w:t>https://doi.org/10.1210/jendso/bvaa038</w:t>
        </w:r>
      </w:hyperlink>
      <w:r w:rsidR="008D707D" w:rsidRPr="008D707D">
        <w:rPr>
          <w:rFonts w:ascii="High Tower Text" w:eastAsia="Arial" w:hAnsi="High Tower Text" w:cs="Arial"/>
          <w:color w:val="000000" w:themeColor="text1"/>
          <w:sz w:val="24"/>
          <w:szCs w:val="24"/>
          <w:lang w:val="en-US"/>
        </w:rPr>
        <w:t xml:space="preserve"> </w:t>
      </w:r>
    </w:p>
    <w:p w14:paraId="725A3C66" w14:textId="77777777" w:rsidR="008D707D" w:rsidRPr="008D707D" w:rsidRDefault="008D707D" w:rsidP="008D707D">
      <w:pPr>
        <w:pStyle w:val="Normal1"/>
        <w:pBdr>
          <w:top w:val="nil"/>
          <w:left w:val="nil"/>
          <w:bottom w:val="nil"/>
          <w:right w:val="nil"/>
          <w:between w:val="nil"/>
        </w:pBdr>
        <w:spacing w:after="0" w:line="240" w:lineRule="auto"/>
        <w:ind w:firstLine="0"/>
        <w:jc w:val="both"/>
        <w:rPr>
          <w:rFonts w:ascii="High Tower Text" w:eastAsia="Arial" w:hAnsi="High Tower Text" w:cs="Arial"/>
          <w:color w:val="000000" w:themeColor="text1"/>
          <w:sz w:val="24"/>
          <w:szCs w:val="24"/>
          <w:lang w:val="en-US"/>
        </w:rPr>
      </w:pPr>
    </w:p>
    <w:p w14:paraId="0ACBF9D6" w14:textId="77777777" w:rsidR="008D707D" w:rsidRPr="008D707D" w:rsidRDefault="008D707D" w:rsidP="008D707D">
      <w:pPr>
        <w:pStyle w:val="Normal1"/>
        <w:pBdr>
          <w:top w:val="nil"/>
          <w:left w:val="nil"/>
          <w:bottom w:val="nil"/>
          <w:right w:val="nil"/>
          <w:between w:val="nil"/>
        </w:pBdr>
        <w:spacing w:after="0" w:line="240" w:lineRule="auto"/>
        <w:ind w:left="-2"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WIND­FELD-MATHIASEN, </w:t>
      </w:r>
      <w:r w:rsidRPr="008D707D">
        <w:rPr>
          <w:rFonts w:ascii="High Tower Text" w:eastAsia="Arial" w:hAnsi="High Tower Text" w:cs="Arial"/>
          <w:i/>
          <w:color w:val="000000" w:themeColor="text1"/>
          <w:sz w:val="24"/>
          <w:szCs w:val="24"/>
          <w:lang w:val="en-US"/>
        </w:rPr>
        <w:t>et al.</w:t>
      </w:r>
      <w:r w:rsidRPr="008D707D">
        <w:rPr>
          <w:rFonts w:ascii="High Tower Text" w:eastAsia="Arial" w:hAnsi="High Tower Text" w:cs="Arial"/>
          <w:color w:val="000000" w:themeColor="text1"/>
          <w:sz w:val="24"/>
          <w:szCs w:val="24"/>
          <w:lang w:val="en-US"/>
        </w:rPr>
        <w:t xml:space="preserve"> </w:t>
      </w:r>
      <w:proofErr w:type="gramStart"/>
      <w:r w:rsidRPr="008D707D">
        <w:rPr>
          <w:rFonts w:ascii="High Tower Text" w:eastAsia="Arial" w:hAnsi="High Tower Text" w:cs="Arial"/>
          <w:b/>
          <w:bCs/>
          <w:color w:val="000000" w:themeColor="text1"/>
          <w:sz w:val="24"/>
          <w:szCs w:val="24"/>
          <w:lang w:val="en-US"/>
        </w:rPr>
        <w:t>Cardiovascular Disease</w:t>
      </w:r>
      <w:proofErr w:type="gramEnd"/>
      <w:r w:rsidRPr="008D707D">
        <w:rPr>
          <w:rFonts w:ascii="High Tower Text" w:eastAsia="Arial" w:hAnsi="High Tower Text" w:cs="Arial"/>
          <w:b/>
          <w:bCs/>
          <w:color w:val="000000" w:themeColor="text1"/>
          <w:sz w:val="24"/>
          <w:szCs w:val="24"/>
          <w:lang w:val="en-US"/>
        </w:rPr>
        <w:t xml:space="preserve"> in Anabolic Androgenic Steroid Users.</w:t>
      </w:r>
      <w:r w:rsidRPr="008D707D">
        <w:rPr>
          <w:rFonts w:ascii="High Tower Text" w:eastAsia="Arial" w:hAnsi="High Tower Text" w:cs="Arial"/>
          <w:color w:val="000000" w:themeColor="text1"/>
          <w:sz w:val="24"/>
          <w:szCs w:val="24"/>
          <w:lang w:val="en-US"/>
        </w:rPr>
        <w:t xml:space="preserve"> </w:t>
      </w:r>
      <w:r w:rsidRPr="008D707D">
        <w:rPr>
          <w:rFonts w:ascii="High Tower Text" w:eastAsia="Arial" w:hAnsi="High Tower Text" w:cs="Arial"/>
          <w:i/>
          <w:iCs/>
          <w:color w:val="000000" w:themeColor="text1"/>
          <w:sz w:val="24"/>
          <w:szCs w:val="24"/>
          <w:lang w:val="en-US"/>
        </w:rPr>
        <w:t>Circulation</w:t>
      </w:r>
      <w:r w:rsidRPr="008D707D">
        <w:rPr>
          <w:rFonts w:ascii="High Tower Text" w:eastAsia="Arial" w:hAnsi="High Tower Text" w:cs="Arial"/>
          <w:color w:val="000000" w:themeColor="text1"/>
          <w:sz w:val="24"/>
          <w:szCs w:val="24"/>
          <w:lang w:val="en-US"/>
        </w:rPr>
        <w:t xml:space="preserve">, v. 151, n. 12, p. 828–834, 2025. DOI: 10.1161/CIRCULATIONAHA.124.071117. </w:t>
      </w:r>
    </w:p>
    <w:p w14:paraId="4E3C460E" w14:textId="77777777" w:rsidR="008D707D" w:rsidRPr="008D707D" w:rsidRDefault="008D707D" w:rsidP="008D707D">
      <w:pPr>
        <w:pStyle w:val="Normal1"/>
        <w:pBdr>
          <w:top w:val="nil"/>
          <w:left w:val="nil"/>
          <w:bottom w:val="nil"/>
          <w:right w:val="nil"/>
          <w:between w:val="nil"/>
        </w:pBdr>
        <w:spacing w:after="0" w:line="240" w:lineRule="auto"/>
        <w:ind w:left="-2" w:firstLine="0"/>
        <w:jc w:val="both"/>
        <w:rPr>
          <w:rFonts w:ascii="High Tower Text" w:eastAsia="Arial" w:hAnsi="High Tower Text" w:cs="Arial"/>
          <w:color w:val="000000" w:themeColor="text1"/>
          <w:sz w:val="24"/>
          <w:szCs w:val="24"/>
          <w:lang w:val="en-US"/>
        </w:rPr>
      </w:pPr>
    </w:p>
    <w:p w14:paraId="79587394"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r w:rsidRPr="008D707D">
        <w:rPr>
          <w:rFonts w:ascii="High Tower Text" w:eastAsia="Arial" w:hAnsi="High Tower Text" w:cs="Arial"/>
          <w:color w:val="000000" w:themeColor="text1"/>
          <w:sz w:val="24"/>
          <w:szCs w:val="24"/>
          <w:lang w:val="en-US"/>
        </w:rPr>
        <w:t xml:space="preserve">YEAP, B. B. </w:t>
      </w:r>
      <w:r w:rsidRPr="008D707D">
        <w:rPr>
          <w:rFonts w:ascii="High Tower Text" w:eastAsia="Arial" w:hAnsi="High Tower Text" w:cs="Arial"/>
          <w:i/>
          <w:color w:val="000000" w:themeColor="text1"/>
          <w:sz w:val="24"/>
          <w:szCs w:val="24"/>
          <w:lang w:val="en-US"/>
        </w:rPr>
        <w:t>et al.</w:t>
      </w:r>
      <w:r w:rsidRPr="008D707D">
        <w:rPr>
          <w:rFonts w:ascii="High Tower Text" w:eastAsia="Arial" w:hAnsi="High Tower Text" w:cs="Arial"/>
          <w:color w:val="000000" w:themeColor="text1"/>
          <w:sz w:val="24"/>
          <w:szCs w:val="24"/>
          <w:lang w:val="en-US"/>
        </w:rPr>
        <w:t xml:space="preserve"> Associations of sex hormones with all-cause and cardiovascular mortality, and incident </w:t>
      </w:r>
      <w:proofErr w:type="gramStart"/>
      <w:r w:rsidRPr="008D707D">
        <w:rPr>
          <w:rFonts w:ascii="High Tower Text" w:eastAsia="Arial" w:hAnsi="High Tower Text" w:cs="Arial"/>
          <w:color w:val="000000" w:themeColor="text1"/>
          <w:sz w:val="24"/>
          <w:szCs w:val="24"/>
          <w:lang w:val="en-US"/>
        </w:rPr>
        <w:t>cardiovascular  disease</w:t>
      </w:r>
      <w:proofErr w:type="gramEnd"/>
      <w:r w:rsidRPr="008D707D">
        <w:rPr>
          <w:rFonts w:ascii="High Tower Text" w:eastAsia="Arial" w:hAnsi="High Tower Text" w:cs="Arial"/>
          <w:color w:val="000000" w:themeColor="text1"/>
          <w:sz w:val="24"/>
          <w:szCs w:val="24"/>
          <w:lang w:val="en-US"/>
        </w:rPr>
        <w:t xml:space="preserve"> in men: individual participant data </w:t>
      </w:r>
      <w:proofErr w:type="spellStart"/>
      <w:r w:rsidRPr="008D707D">
        <w:rPr>
          <w:rFonts w:ascii="High Tower Text" w:eastAsia="Arial" w:hAnsi="High Tower Text" w:cs="Arial"/>
          <w:color w:val="000000" w:themeColor="text1"/>
          <w:sz w:val="24"/>
          <w:szCs w:val="24"/>
          <w:lang w:val="en-US"/>
        </w:rPr>
        <w:t>metaanalyses</w:t>
      </w:r>
      <w:proofErr w:type="spellEnd"/>
      <w:r w:rsidRPr="008D707D">
        <w:rPr>
          <w:rFonts w:ascii="High Tower Text" w:eastAsia="Arial" w:hAnsi="High Tower Text" w:cs="Arial"/>
          <w:color w:val="000000" w:themeColor="text1"/>
          <w:sz w:val="24"/>
          <w:szCs w:val="24"/>
          <w:lang w:val="en-US"/>
        </w:rPr>
        <w:t>. The Lancet Healthy Longevity, London, v. 5, n. 2, p. e89–e</w:t>
      </w:r>
      <w:proofErr w:type="gramStart"/>
      <w:r w:rsidRPr="008D707D">
        <w:rPr>
          <w:rFonts w:ascii="High Tower Text" w:eastAsia="Arial" w:hAnsi="High Tower Text" w:cs="Arial"/>
          <w:color w:val="000000" w:themeColor="text1"/>
          <w:sz w:val="24"/>
          <w:szCs w:val="24"/>
          <w:lang w:val="en-US"/>
        </w:rPr>
        <w:t>102 ,</w:t>
      </w:r>
      <w:proofErr w:type="gramEnd"/>
      <w:r w:rsidRPr="008D707D">
        <w:rPr>
          <w:rFonts w:ascii="High Tower Text" w:eastAsia="Arial" w:hAnsi="High Tower Text" w:cs="Arial"/>
          <w:color w:val="000000" w:themeColor="text1"/>
          <w:sz w:val="24"/>
          <w:szCs w:val="24"/>
          <w:lang w:val="en-US"/>
        </w:rPr>
        <w:t xml:space="preserve"> 2024</w:t>
      </w:r>
    </w:p>
    <w:p w14:paraId="5156F591"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10179ECF" w14:textId="77777777" w:rsidR="008D707D" w:rsidRPr="008D707D" w:rsidRDefault="008D707D" w:rsidP="008D707D">
      <w:pPr>
        <w:pStyle w:val="Normal1"/>
        <w:spacing w:after="0" w:line="240" w:lineRule="auto"/>
        <w:ind w:firstLine="0"/>
        <w:jc w:val="both"/>
        <w:rPr>
          <w:rFonts w:ascii="High Tower Text" w:eastAsia="Arial" w:hAnsi="High Tower Text" w:cs="Arial"/>
          <w:color w:val="000000" w:themeColor="text1"/>
          <w:sz w:val="24"/>
          <w:szCs w:val="24"/>
          <w:lang w:val="en-US"/>
        </w:rPr>
      </w:pPr>
    </w:p>
    <w:p w14:paraId="75342A96" w14:textId="77777777" w:rsidR="008D707D" w:rsidRPr="008D707D" w:rsidRDefault="008D707D" w:rsidP="008D707D">
      <w:pPr>
        <w:pStyle w:val="Normal1"/>
        <w:pBdr>
          <w:top w:val="nil"/>
          <w:left w:val="nil"/>
          <w:bottom w:val="nil"/>
          <w:right w:val="nil"/>
          <w:between w:val="nil"/>
        </w:pBdr>
        <w:spacing w:after="0" w:line="240" w:lineRule="auto"/>
        <w:ind w:left="-2" w:firstLine="0"/>
        <w:jc w:val="both"/>
        <w:rPr>
          <w:rFonts w:ascii="High Tower Text" w:eastAsia="Arial" w:hAnsi="High Tower Text" w:cs="Arial"/>
          <w:color w:val="000000" w:themeColor="text1"/>
          <w:sz w:val="24"/>
          <w:szCs w:val="24"/>
          <w:lang w:val="en-US"/>
        </w:rPr>
      </w:pPr>
    </w:p>
    <w:p w14:paraId="39F461AD" w14:textId="77777777" w:rsidR="00936849" w:rsidRPr="008D707D" w:rsidRDefault="00936849" w:rsidP="00ED795B">
      <w:pPr>
        <w:rPr>
          <w:rFonts w:ascii="High Tower Text" w:hAnsi="High Tower Text"/>
          <w:color w:val="000000" w:themeColor="text1"/>
          <w:lang w:val="en-US"/>
        </w:rPr>
      </w:pPr>
    </w:p>
    <w:sectPr w:rsidR="00936849" w:rsidRPr="008D707D" w:rsidSect="008D707D">
      <w:headerReference w:type="default" r:id="rId15"/>
      <w:footerReference w:type="default" r:id="rId16"/>
      <w:headerReference w:type="first" r:id="rId17"/>
      <w:footerReference w:type="first" r:id="rId18"/>
      <w:pgSz w:w="11907" w:h="16840" w:code="9"/>
      <w:pgMar w:top="1309" w:right="1077" w:bottom="898" w:left="1418" w:header="182" w:footer="38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CD00" w14:textId="77777777" w:rsidR="00D05D92" w:rsidRDefault="00D05D92" w:rsidP="00131CEC">
      <w:r>
        <w:separator/>
      </w:r>
    </w:p>
  </w:endnote>
  <w:endnote w:type="continuationSeparator" w:id="0">
    <w:p w14:paraId="67B5671A" w14:textId="77777777" w:rsidR="00D05D92" w:rsidRDefault="00D05D92" w:rsidP="0013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Condensed">
    <w:altName w:val="Arial"/>
    <w:panose1 w:val="00000000000000000000"/>
    <w:charset w:val="00"/>
    <w:family w:val="auto"/>
    <w:notTrueType/>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High Tower Text">
    <w:panose1 w:val="0204050205050603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0A8D" w14:textId="77777777" w:rsidR="00556390" w:rsidRDefault="00556390" w:rsidP="00B628CA">
    <w:pPr>
      <w:tabs>
        <w:tab w:val="center" w:pos="4252"/>
        <w:tab w:val="right" w:pos="8504"/>
      </w:tabs>
      <w:ind w:left="2" w:hanging="2"/>
      <w:jc w:val="center"/>
      <w:rPr>
        <w:rFonts w:ascii="Garamond" w:eastAsia="Garamond" w:hAnsi="Garamond" w:cs="Garamond"/>
        <w:sz w:val="22"/>
      </w:rPr>
    </w:pPr>
  </w:p>
  <w:p w14:paraId="6B2B9C4F" w14:textId="77777777" w:rsidR="00556390" w:rsidRDefault="00556390" w:rsidP="00B628CA">
    <w:pPr>
      <w:tabs>
        <w:tab w:val="center" w:pos="4252"/>
        <w:tab w:val="right" w:pos="8504"/>
      </w:tabs>
      <w:ind w:left="2" w:hanging="2"/>
      <w:jc w:val="center"/>
      <w:rPr>
        <w:rFonts w:ascii="Garamond" w:eastAsia="Garamond" w:hAnsi="Garamond" w:cs="Garamond"/>
        <w:sz w:val="22"/>
      </w:rPr>
    </w:pPr>
  </w:p>
  <w:p w14:paraId="031881C8" w14:textId="52295F39" w:rsidR="00B628CA" w:rsidRPr="000E6734" w:rsidRDefault="00B628CA" w:rsidP="00B628CA">
    <w:pPr>
      <w:tabs>
        <w:tab w:val="center" w:pos="4252"/>
        <w:tab w:val="right" w:pos="8504"/>
      </w:tabs>
      <w:ind w:left="2" w:hanging="2"/>
      <w:jc w:val="center"/>
      <w:rPr>
        <w:rFonts w:ascii="Garamond" w:eastAsia="Garamond" w:hAnsi="Garamond" w:cs="Garamond"/>
        <w:sz w:val="22"/>
      </w:rPr>
    </w:pPr>
    <w:r w:rsidRPr="000E6734">
      <w:rPr>
        <w:rFonts w:ascii="Garamond" w:eastAsia="Garamond" w:hAnsi="Garamond" w:cs="Garamond"/>
        <w:sz w:val="22"/>
      </w:rPr>
      <w:t>Revista Ibero-Americana de Humanidades, Ciências e Educação. São Paulo, v. 1</w:t>
    </w:r>
    <w:r>
      <w:rPr>
        <w:rFonts w:ascii="Garamond" w:eastAsia="Garamond" w:hAnsi="Garamond" w:cs="Garamond"/>
        <w:sz w:val="22"/>
      </w:rPr>
      <w:t>2</w:t>
    </w:r>
    <w:r w:rsidRPr="000E6734">
      <w:rPr>
        <w:rFonts w:ascii="Garamond" w:eastAsia="Garamond" w:hAnsi="Garamond" w:cs="Garamond"/>
        <w:sz w:val="22"/>
      </w:rPr>
      <w:t xml:space="preserve">, n. </w:t>
    </w:r>
    <w:r w:rsidR="00EC3147">
      <w:rPr>
        <w:rFonts w:ascii="Garamond" w:eastAsia="Garamond" w:hAnsi="Garamond" w:cs="Garamond"/>
        <w:sz w:val="22"/>
      </w:rPr>
      <w:t>9</w:t>
    </w:r>
    <w:r w:rsidRPr="000E6734">
      <w:rPr>
        <w:rFonts w:ascii="Garamond" w:eastAsia="Garamond" w:hAnsi="Garamond" w:cs="Garamond"/>
        <w:sz w:val="22"/>
      </w:rPr>
      <w:t>,</w:t>
    </w:r>
    <w:r>
      <w:rPr>
        <w:rFonts w:ascii="Garamond" w:eastAsia="Garamond" w:hAnsi="Garamond" w:cs="Garamond"/>
        <w:sz w:val="22"/>
      </w:rPr>
      <w:t xml:space="preserve"> </w:t>
    </w:r>
    <w:r w:rsidR="00EC3147">
      <w:rPr>
        <w:rFonts w:ascii="Garamond" w:eastAsia="Garamond" w:hAnsi="Garamond" w:cs="Garamond"/>
        <w:sz w:val="22"/>
      </w:rPr>
      <w:t>set</w:t>
    </w:r>
    <w:r w:rsidR="00936849" w:rsidRPr="00936849">
      <w:rPr>
        <w:rFonts w:ascii="Garamond" w:eastAsia="Garamond" w:hAnsi="Garamond" w:cs="Garamond"/>
        <w:sz w:val="22"/>
      </w:rPr>
      <w:t>.</w:t>
    </w:r>
    <w:r w:rsidRPr="000E6734">
      <w:rPr>
        <w:rFonts w:ascii="Garamond" w:eastAsia="Garamond" w:hAnsi="Garamond" w:cs="Garamond"/>
        <w:sz w:val="22"/>
      </w:rPr>
      <w:t xml:space="preserve"> 202</w:t>
    </w:r>
    <w:r>
      <w:rPr>
        <w:rFonts w:ascii="Garamond" w:eastAsia="Garamond" w:hAnsi="Garamond" w:cs="Garamond"/>
        <w:sz w:val="22"/>
      </w:rPr>
      <w:t>6</w:t>
    </w:r>
    <w:r w:rsidRPr="000E6734">
      <w:rPr>
        <w:rFonts w:ascii="Garamond" w:eastAsia="Garamond" w:hAnsi="Garamond" w:cs="Garamond"/>
        <w:sz w:val="22"/>
      </w:rPr>
      <w:t>.</w:t>
    </w:r>
  </w:p>
  <w:p w14:paraId="5E378B87" w14:textId="77777777" w:rsidR="00B628CA" w:rsidRPr="000E6734" w:rsidRDefault="00B628CA" w:rsidP="00B628CA">
    <w:pPr>
      <w:tabs>
        <w:tab w:val="center" w:pos="4252"/>
        <w:tab w:val="right" w:pos="8504"/>
      </w:tabs>
      <w:ind w:left="2" w:hanging="2"/>
      <w:jc w:val="center"/>
      <w:rPr>
        <w:rFonts w:ascii="Garamond" w:hAnsi="Garamond"/>
        <w:sz w:val="22"/>
      </w:rPr>
    </w:pPr>
    <w:r w:rsidRPr="000E6734">
      <w:rPr>
        <w:rFonts w:ascii="Garamond" w:hAnsi="Garamond"/>
        <w:sz w:val="22"/>
      </w:rPr>
      <w:t xml:space="preserve">ISSN: 2675-3375   </w:t>
    </w:r>
  </w:p>
  <w:p w14:paraId="13F0AAE4" w14:textId="77777777" w:rsidR="00D7400E" w:rsidRPr="000E6734" w:rsidRDefault="00D7400E" w:rsidP="00D548AD">
    <w:pPr>
      <w:tabs>
        <w:tab w:val="center" w:pos="4252"/>
        <w:tab w:val="right" w:pos="8504"/>
      </w:tabs>
      <w:rPr>
        <w:rFonts w:ascii="Garamond" w:eastAsia="Garamond" w:hAnsi="Garamond" w:cs="Garamon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57CB" w14:textId="77777777" w:rsidR="00556390" w:rsidRDefault="00556390" w:rsidP="00F81E38">
    <w:pPr>
      <w:tabs>
        <w:tab w:val="center" w:pos="4252"/>
        <w:tab w:val="right" w:pos="8504"/>
      </w:tabs>
      <w:jc w:val="center"/>
      <w:rPr>
        <w:rFonts w:ascii="Garamond" w:eastAsia="Garamond" w:hAnsi="Garamond" w:cs="Garamond"/>
        <w:color w:val="808080"/>
        <w:sz w:val="18"/>
        <w:szCs w:val="18"/>
      </w:rPr>
    </w:pPr>
  </w:p>
  <w:p w14:paraId="6F67C502" w14:textId="77777777" w:rsidR="00761D2E" w:rsidRDefault="00761D2E" w:rsidP="00F81E38">
    <w:pPr>
      <w:tabs>
        <w:tab w:val="center" w:pos="4252"/>
        <w:tab w:val="right" w:pos="8504"/>
      </w:tabs>
      <w:jc w:val="center"/>
      <w:rPr>
        <w:rFonts w:ascii="Garamond" w:eastAsia="Garamond" w:hAnsi="Garamond" w:cs="Garamond"/>
        <w:color w:val="808080"/>
        <w:sz w:val="18"/>
        <w:szCs w:val="18"/>
      </w:rPr>
    </w:pPr>
  </w:p>
  <w:p w14:paraId="7AFDDBC1" w14:textId="49394C8A" w:rsidR="00D548AD" w:rsidRPr="000E6734" w:rsidRDefault="00D548AD" w:rsidP="00D548AD">
    <w:pPr>
      <w:tabs>
        <w:tab w:val="center" w:pos="4252"/>
        <w:tab w:val="right" w:pos="8504"/>
      </w:tabs>
      <w:ind w:left="2" w:hanging="2"/>
      <w:jc w:val="center"/>
      <w:rPr>
        <w:rFonts w:ascii="Garamond" w:eastAsia="Garamond" w:hAnsi="Garamond" w:cs="Garamond"/>
        <w:sz w:val="22"/>
      </w:rPr>
    </w:pPr>
    <w:r w:rsidRPr="000E6734">
      <w:rPr>
        <w:rFonts w:ascii="Garamond" w:eastAsia="Garamond" w:hAnsi="Garamond" w:cs="Garamond"/>
        <w:sz w:val="22"/>
      </w:rPr>
      <w:t xml:space="preserve">Revista Ibero-Americana de Humanidades, Ciências e Educação. São Paulo, </w:t>
    </w:r>
    <w:r w:rsidR="00F42DBE" w:rsidRPr="000E6734">
      <w:rPr>
        <w:rFonts w:ascii="Garamond" w:eastAsia="Garamond" w:hAnsi="Garamond" w:cs="Garamond"/>
        <w:sz w:val="22"/>
      </w:rPr>
      <w:t>v. 1</w:t>
    </w:r>
    <w:r w:rsidR="00575FCB">
      <w:rPr>
        <w:rFonts w:ascii="Garamond" w:eastAsia="Garamond" w:hAnsi="Garamond" w:cs="Garamond"/>
        <w:sz w:val="22"/>
      </w:rPr>
      <w:t>2</w:t>
    </w:r>
    <w:r w:rsidR="00F42DBE" w:rsidRPr="000E6734">
      <w:rPr>
        <w:rFonts w:ascii="Garamond" w:eastAsia="Garamond" w:hAnsi="Garamond" w:cs="Garamond"/>
        <w:sz w:val="22"/>
      </w:rPr>
      <w:t>, n.</w:t>
    </w:r>
    <w:r w:rsidR="003D32F8" w:rsidRPr="000E6734">
      <w:rPr>
        <w:rFonts w:ascii="Garamond" w:eastAsia="Garamond" w:hAnsi="Garamond" w:cs="Garamond"/>
        <w:sz w:val="22"/>
      </w:rPr>
      <w:t xml:space="preserve"> </w:t>
    </w:r>
    <w:r w:rsidR="00EC3147">
      <w:rPr>
        <w:rFonts w:ascii="Garamond" w:eastAsia="Garamond" w:hAnsi="Garamond" w:cs="Garamond"/>
        <w:sz w:val="22"/>
      </w:rPr>
      <w:t>9</w:t>
    </w:r>
    <w:r w:rsidR="00F42DBE" w:rsidRPr="000E6734">
      <w:rPr>
        <w:rFonts w:ascii="Garamond" w:eastAsia="Garamond" w:hAnsi="Garamond" w:cs="Garamond"/>
        <w:sz w:val="22"/>
      </w:rPr>
      <w:t>,</w:t>
    </w:r>
    <w:r w:rsidR="00EC3147">
      <w:rPr>
        <w:rFonts w:ascii="Garamond" w:eastAsia="Garamond" w:hAnsi="Garamond" w:cs="Garamond"/>
        <w:sz w:val="22"/>
      </w:rPr>
      <w:t xml:space="preserve"> set</w:t>
    </w:r>
    <w:r w:rsidR="00F42DBE" w:rsidRPr="000E6734">
      <w:rPr>
        <w:rFonts w:ascii="Garamond" w:eastAsia="Garamond" w:hAnsi="Garamond" w:cs="Garamond"/>
        <w:sz w:val="22"/>
      </w:rPr>
      <w:t>. 202</w:t>
    </w:r>
    <w:r w:rsidR="0004020A">
      <w:rPr>
        <w:rFonts w:ascii="Garamond" w:eastAsia="Garamond" w:hAnsi="Garamond" w:cs="Garamond"/>
        <w:sz w:val="22"/>
      </w:rPr>
      <w:t>6</w:t>
    </w:r>
    <w:r w:rsidR="00F42DBE" w:rsidRPr="000E6734">
      <w:rPr>
        <w:rFonts w:ascii="Garamond" w:eastAsia="Garamond" w:hAnsi="Garamond" w:cs="Garamond"/>
        <w:sz w:val="22"/>
      </w:rPr>
      <w:t>.</w:t>
    </w:r>
  </w:p>
  <w:p w14:paraId="77E468E1" w14:textId="77777777" w:rsidR="00D548AD" w:rsidRPr="000E6734" w:rsidRDefault="00D548AD" w:rsidP="00D548AD">
    <w:pPr>
      <w:tabs>
        <w:tab w:val="center" w:pos="4252"/>
        <w:tab w:val="right" w:pos="8504"/>
      </w:tabs>
      <w:ind w:left="2" w:hanging="2"/>
      <w:jc w:val="center"/>
      <w:rPr>
        <w:rFonts w:ascii="Garamond" w:hAnsi="Garamond"/>
        <w:sz w:val="22"/>
      </w:rPr>
    </w:pPr>
    <w:r w:rsidRPr="000E6734">
      <w:rPr>
        <w:rFonts w:ascii="Garamond" w:hAnsi="Garamond"/>
        <w:sz w:val="22"/>
      </w:rPr>
      <w:t>ISSN: 2675</w:t>
    </w:r>
    <w:r w:rsidR="00161E48" w:rsidRPr="000E6734">
      <w:rPr>
        <w:rFonts w:ascii="Garamond" w:hAnsi="Garamond"/>
        <w:sz w:val="22"/>
      </w:rPr>
      <w:t>-</w:t>
    </w:r>
    <w:r w:rsidRPr="000E6734">
      <w:rPr>
        <w:rFonts w:ascii="Garamond" w:hAnsi="Garamond"/>
        <w:sz w:val="22"/>
      </w:rPr>
      <w:t>3375</w:t>
    </w:r>
    <w:r w:rsidR="00161E48" w:rsidRPr="000E6734">
      <w:rPr>
        <w:rFonts w:ascii="Garamond" w:hAnsi="Garamond"/>
        <w:sz w:val="22"/>
      </w:rPr>
      <w:t xml:space="preserve">   </w:t>
    </w:r>
  </w:p>
  <w:p w14:paraId="109883FD" w14:textId="77777777" w:rsidR="00F81E38" w:rsidRPr="003A1113" w:rsidRDefault="00F81E38">
    <w:pPr>
      <w:pStyle w:val="Rodap"/>
      <w:rPr>
        <w:rFonts w:ascii="Garamond" w:hAnsi="Garamond"/>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07D9" w14:textId="77777777" w:rsidR="00D05D92" w:rsidRDefault="00D05D92" w:rsidP="00131CEC">
      <w:r>
        <w:separator/>
      </w:r>
    </w:p>
  </w:footnote>
  <w:footnote w:type="continuationSeparator" w:id="0">
    <w:p w14:paraId="52931A0E" w14:textId="77777777" w:rsidR="00D05D92" w:rsidRDefault="00D05D92" w:rsidP="00131CEC">
      <w:r>
        <w:continuationSeparator/>
      </w:r>
    </w:p>
  </w:footnote>
  <w:footnote w:id="1">
    <w:p w14:paraId="6D52AFF4" w14:textId="48C90102" w:rsidR="008D707D" w:rsidRPr="004758FC" w:rsidRDefault="008D707D" w:rsidP="008D707D">
      <w:pPr>
        <w:shd w:val="clear" w:color="auto" w:fill="FFFFFF"/>
        <w:rPr>
          <w:rFonts w:ascii="High Tower Text" w:eastAsia="Times New Roman" w:hAnsi="High Tower Text" w:cs="Times New Roman"/>
          <w:color w:val="FF0000"/>
          <w:sz w:val="18"/>
          <w:szCs w:val="18"/>
          <w:lang w:eastAsia="pt-BR"/>
        </w:rPr>
      </w:pPr>
      <w:r w:rsidRPr="004758FC">
        <w:rPr>
          <w:rStyle w:val="Refdenotaderodap"/>
          <w:rFonts w:ascii="High Tower Text" w:hAnsi="High Tower Text"/>
          <w:sz w:val="18"/>
          <w:szCs w:val="18"/>
        </w:rPr>
        <w:footnoteRef/>
      </w:r>
      <w:r w:rsidRPr="004758FC">
        <w:rPr>
          <w:rFonts w:ascii="High Tower Text" w:eastAsia="Times New Roman" w:hAnsi="High Tower Text" w:cs="Times New Roman"/>
          <w:color w:val="2C363A"/>
          <w:sz w:val="18"/>
          <w:szCs w:val="18"/>
          <w:lang w:eastAsia="pt-BR"/>
        </w:rPr>
        <w:t>Discente do curso de Medicina na universidade de Vassouras</w:t>
      </w:r>
      <w:r>
        <w:rPr>
          <w:rFonts w:ascii="High Tower Text" w:eastAsia="Times New Roman" w:hAnsi="High Tower Text" w:cs="Times New Roman"/>
          <w:color w:val="2C363A"/>
          <w:sz w:val="18"/>
          <w:szCs w:val="18"/>
          <w:lang w:eastAsia="pt-BR"/>
        </w:rPr>
        <w:t>.</w:t>
      </w:r>
      <w:r w:rsidRPr="004758FC">
        <w:rPr>
          <w:rFonts w:ascii="High Tower Text" w:hAnsi="High Tower Text"/>
          <w:color w:val="FF0000"/>
          <w:sz w:val="18"/>
          <w:szCs w:val="18"/>
        </w:rPr>
        <w:t xml:space="preserve"> </w:t>
      </w:r>
    </w:p>
  </w:footnote>
  <w:footnote w:id="2">
    <w:p w14:paraId="18352066" w14:textId="74610350" w:rsidR="008D707D" w:rsidRPr="004758FC" w:rsidRDefault="008D707D" w:rsidP="008D707D">
      <w:pPr>
        <w:shd w:val="clear" w:color="auto" w:fill="FFFFFF"/>
        <w:rPr>
          <w:rFonts w:ascii="High Tower Text" w:eastAsia="Times New Roman" w:hAnsi="High Tower Text" w:cs="Times New Roman"/>
          <w:color w:val="FF0000"/>
          <w:sz w:val="18"/>
          <w:szCs w:val="18"/>
          <w:lang w:eastAsia="pt-BR"/>
        </w:rPr>
      </w:pPr>
      <w:r w:rsidRPr="004758FC">
        <w:rPr>
          <w:rStyle w:val="Refdenotaderodap"/>
          <w:rFonts w:ascii="High Tower Text" w:hAnsi="High Tower Text"/>
          <w:sz w:val="18"/>
          <w:szCs w:val="18"/>
        </w:rPr>
        <w:footnoteRef/>
      </w:r>
      <w:r w:rsidRPr="004758FC">
        <w:rPr>
          <w:rFonts w:ascii="High Tower Text" w:eastAsia="Times New Roman" w:hAnsi="High Tower Text" w:cs="Times New Roman"/>
          <w:color w:val="000000"/>
          <w:sz w:val="18"/>
          <w:szCs w:val="18"/>
          <w:lang w:eastAsia="pt-BR"/>
        </w:rPr>
        <w:t>Discente do curso de Medicina na universidade de Vassouras</w:t>
      </w:r>
      <w:r>
        <w:rPr>
          <w:rFonts w:ascii="High Tower Text" w:eastAsia="Times New Roman" w:hAnsi="High Tower Text" w:cs="Times New Roman"/>
          <w:color w:val="000000"/>
          <w:sz w:val="18"/>
          <w:szCs w:val="18"/>
          <w:lang w:eastAsia="pt-BR"/>
        </w:rPr>
        <w:t>.</w:t>
      </w:r>
      <w:r w:rsidRPr="004758FC">
        <w:rPr>
          <w:rFonts w:ascii="High Tower Text" w:hAnsi="High Tower Text"/>
          <w:color w:val="FF0000"/>
          <w:sz w:val="18"/>
          <w:szCs w:val="18"/>
        </w:rPr>
        <w:t xml:space="preserve"> </w:t>
      </w:r>
    </w:p>
  </w:footnote>
  <w:footnote w:id="3">
    <w:p w14:paraId="4928AD2A" w14:textId="5354B999" w:rsidR="008D707D" w:rsidRPr="004758FC" w:rsidRDefault="008D707D" w:rsidP="008D707D">
      <w:pPr>
        <w:shd w:val="clear" w:color="auto" w:fill="FFFFFF"/>
        <w:rPr>
          <w:rFonts w:ascii="High Tower Text" w:eastAsia="Times New Roman" w:hAnsi="High Tower Text" w:cs="Times New Roman"/>
          <w:color w:val="000000"/>
          <w:sz w:val="18"/>
          <w:szCs w:val="18"/>
          <w:lang w:eastAsia="pt-BR"/>
        </w:rPr>
      </w:pPr>
      <w:r w:rsidRPr="004758FC">
        <w:rPr>
          <w:rStyle w:val="Refdenotaderodap"/>
          <w:rFonts w:ascii="High Tower Text" w:hAnsi="High Tower Text"/>
          <w:sz w:val="18"/>
          <w:szCs w:val="18"/>
        </w:rPr>
        <w:footnoteRef/>
      </w:r>
      <w:r w:rsidRPr="004758FC">
        <w:rPr>
          <w:rFonts w:ascii="High Tower Text" w:eastAsia="Times New Roman" w:hAnsi="High Tower Text" w:cs="Times New Roman"/>
          <w:color w:val="000000"/>
          <w:sz w:val="18"/>
          <w:szCs w:val="18"/>
          <w:lang w:eastAsia="pt-BR"/>
        </w:rPr>
        <w:t xml:space="preserve">Discente do curso de Medicina na universidade de Vassouras. </w:t>
      </w:r>
    </w:p>
  </w:footnote>
  <w:footnote w:id="4">
    <w:p w14:paraId="3888025E" w14:textId="7139D95D" w:rsidR="008D707D" w:rsidRPr="004758FC" w:rsidRDefault="008D707D" w:rsidP="008D707D">
      <w:pPr>
        <w:shd w:val="clear" w:color="auto" w:fill="FFFFFF"/>
        <w:rPr>
          <w:rFonts w:ascii="High Tower Text" w:eastAsia="Times New Roman" w:hAnsi="High Tower Text" w:cs="Times New Roman"/>
          <w:color w:val="FF0000"/>
          <w:sz w:val="18"/>
          <w:szCs w:val="18"/>
          <w:lang w:eastAsia="pt-BR"/>
        </w:rPr>
      </w:pPr>
      <w:r w:rsidRPr="004758FC">
        <w:rPr>
          <w:rStyle w:val="Refdenotaderodap"/>
          <w:rFonts w:ascii="High Tower Text" w:hAnsi="High Tower Text"/>
          <w:sz w:val="18"/>
          <w:szCs w:val="18"/>
        </w:rPr>
        <w:footnoteRef/>
      </w:r>
      <w:r w:rsidRPr="004758FC">
        <w:rPr>
          <w:rFonts w:ascii="High Tower Text" w:eastAsia="Times New Roman" w:hAnsi="High Tower Text" w:cs="Times New Roman"/>
          <w:color w:val="000000"/>
          <w:sz w:val="18"/>
          <w:szCs w:val="18"/>
          <w:lang w:eastAsia="pt-BR"/>
        </w:rPr>
        <w:t>Discente do curso de Medicina na universidade de Vassouras</w:t>
      </w:r>
      <w:r>
        <w:rPr>
          <w:rFonts w:ascii="High Tower Text" w:eastAsia="Times New Roman" w:hAnsi="High Tower Text" w:cs="Times New Roman"/>
          <w:color w:val="000000"/>
          <w:sz w:val="18"/>
          <w:szCs w:val="18"/>
          <w:lang w:eastAsia="pt-BR"/>
        </w:rPr>
        <w:t>.</w:t>
      </w:r>
      <w:r w:rsidRPr="004758FC">
        <w:rPr>
          <w:rFonts w:ascii="High Tower Text" w:hAnsi="High Tower Text"/>
          <w:color w:val="FF0000"/>
          <w:sz w:val="18"/>
          <w:szCs w:val="18"/>
        </w:rPr>
        <w:t xml:space="preserve"> </w:t>
      </w:r>
    </w:p>
  </w:footnote>
  <w:footnote w:id="5">
    <w:p w14:paraId="3E881745" w14:textId="7DEFBD30" w:rsidR="008D707D" w:rsidRPr="008D707D" w:rsidRDefault="008D707D" w:rsidP="008D707D">
      <w:pPr>
        <w:shd w:val="clear" w:color="auto" w:fill="FFFFFF"/>
        <w:rPr>
          <w:rFonts w:ascii="High Tower Text" w:eastAsia="Times New Roman" w:hAnsi="High Tower Text" w:cs="Times New Roman"/>
          <w:color w:val="FF0000"/>
          <w:sz w:val="18"/>
          <w:szCs w:val="18"/>
          <w:lang w:eastAsia="pt-BR"/>
        </w:rPr>
      </w:pPr>
      <w:r w:rsidRPr="004758FC">
        <w:rPr>
          <w:rStyle w:val="Refdenotaderodap"/>
          <w:rFonts w:ascii="High Tower Text" w:hAnsi="High Tower Text"/>
          <w:sz w:val="18"/>
          <w:szCs w:val="18"/>
        </w:rPr>
        <w:footnoteRef/>
      </w:r>
      <w:r w:rsidRPr="004758FC">
        <w:rPr>
          <w:rFonts w:ascii="High Tower Text" w:eastAsia="Times New Roman" w:hAnsi="High Tower Text" w:cs="Times New Roman"/>
          <w:color w:val="000000"/>
          <w:sz w:val="18"/>
          <w:szCs w:val="18"/>
          <w:lang w:eastAsia="pt-BR"/>
        </w:rPr>
        <w:t>Médico e professor docente (orientador) no curso de Medicina na universidade de Vassouras</w:t>
      </w:r>
      <w:r>
        <w:rPr>
          <w:rFonts w:ascii="High Tower Text" w:eastAsia="Times New Roman" w:hAnsi="High Tower Text" w:cs="Times New Roman"/>
          <w:color w:val="000000"/>
          <w:sz w:val="18"/>
          <w:szCs w:val="18"/>
          <w:lang w:eastAsia="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995C" w14:textId="77777777" w:rsidR="008D707D" w:rsidRDefault="008D707D" w:rsidP="00F81E38">
    <w:pPr>
      <w:pStyle w:val="current"/>
      <w:shd w:val="clear" w:color="auto" w:fill="FFFFFF"/>
      <w:tabs>
        <w:tab w:val="left" w:pos="338"/>
        <w:tab w:val="center" w:pos="4534"/>
      </w:tabs>
      <w:spacing w:before="0" w:beforeAutospacing="0" w:after="0" w:afterAutospacing="0"/>
      <w:jc w:val="center"/>
      <w:rPr>
        <w:rFonts w:ascii="Garamond" w:hAnsi="Garamond"/>
        <w:color w:val="808080"/>
        <w:sz w:val="20"/>
        <w:szCs w:val="20"/>
      </w:rPr>
    </w:pPr>
  </w:p>
  <w:p w14:paraId="212790FB" w14:textId="60B22ABE" w:rsidR="002A7090"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Pr>
        <w:noProof/>
      </w:rPr>
      <mc:AlternateContent>
        <mc:Choice Requires="wps">
          <w:drawing>
            <wp:anchor distT="0" distB="0" distL="114300" distR="114300" simplePos="0" relativeHeight="251659264" behindDoc="0" locked="0" layoutInCell="0" allowOverlap="1" wp14:anchorId="7F155915" wp14:editId="710786BE">
              <wp:simplePos x="0" y="0"/>
              <wp:positionH relativeFrom="page">
                <wp:posOffset>6840220</wp:posOffset>
              </wp:positionH>
              <wp:positionV relativeFrom="page">
                <wp:posOffset>5417820</wp:posOffset>
              </wp:positionV>
              <wp:extent cx="720090" cy="329565"/>
              <wp:effectExtent l="0" t="0" r="0" b="0"/>
              <wp:wrapNone/>
              <wp:docPr id="83808557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329565"/>
                      </a:xfrm>
                      <a:prstGeom prst="rect">
                        <a:avLst/>
                      </a:prstGeom>
                      <a:solidFill>
                        <a:srgbClr val="FFFFFF"/>
                      </a:solidFill>
                      <a:ln>
                        <a:noFill/>
                      </a:ln>
                    </wps:spPr>
                    <wps:txbx>
                      <w:txbxContent>
                        <w:p w14:paraId="2B805770"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7F155915" id="Retângulo 1" o:spid="_x0000_s1026" style="position:absolute;left:0;text-align:left;margin-left:538.6pt;margin-top:426.6pt;width:56.7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" o:allowincell="f" stroked="f">
              <v:textbox>
                <w:txbxContent>
                  <w:p w14:paraId="2B805770"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sidRPr="003B4E10">
      <w:rPr>
        <w:noProof/>
      </w:rPr>
      <w:drawing>
        <wp:inline distT="0" distB="0" distL="0" distR="0" wp14:anchorId="48C91AA3" wp14:editId="660FC38B">
          <wp:extent cx="601345" cy="673735"/>
          <wp:effectExtent l="0" t="0" r="0" b="0"/>
          <wp:docPr id="1" name="Imagem 2" descr="Uma imagem contendo Forma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Uma imagem contendo Forma  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673735"/>
                  </a:xfrm>
                  <a:prstGeom prst="rect">
                    <a:avLst/>
                  </a:prstGeom>
                  <a:noFill/>
                  <a:ln>
                    <a:noFill/>
                  </a:ln>
                </pic:spPr>
              </pic:pic>
            </a:graphicData>
          </a:graphic>
        </wp:inline>
      </w:drawing>
    </w:r>
    <w:r w:rsidR="00D548AD" w:rsidRPr="00D548AD">
      <w:rPr>
        <w:rFonts w:ascii="Garamond" w:hAnsi="Garamond"/>
        <w:color w:val="808080"/>
        <w:sz w:val="20"/>
        <w:szCs w:val="20"/>
      </w:rPr>
      <w:t xml:space="preserve"> </w:t>
    </w:r>
    <w:r w:rsidR="00D548AD">
      <w:rPr>
        <w:rFonts w:ascii="Garamond" w:hAnsi="Garamond"/>
        <w:color w:val="808080"/>
        <w:sz w:val="20"/>
        <w:szCs w:val="20"/>
      </w:rPr>
      <w:t>Revista Ibero-Americana de Humanidades, Ciências e Educação — REASE</w:t>
    </w:r>
    <w:r w:rsidR="00D548AD">
      <w:rPr>
        <w:rFonts w:ascii="Garamond" w:hAnsi="Garamond"/>
        <w:sz w:val="20"/>
        <w:szCs w:val="20"/>
      </w:rPr>
      <w:t xml:space="preserve">    </w:t>
    </w:r>
    <w:r>
      <w:rPr>
        <w:rFonts w:ascii="Garamond" w:hAnsi="Garamond"/>
        <w:sz w:val="20"/>
        <w:szCs w:val="20"/>
      </w:rPr>
      <w:t xml:space="preserve"> </w:t>
    </w:r>
    <w:r w:rsidRPr="00762CA2">
      <w:rPr>
        <w:rFonts w:ascii="High Tower Text" w:hAnsi="High Tower Text"/>
        <w:noProof/>
        <w:color w:val="231F20"/>
      </w:rPr>
      <w:drawing>
        <wp:inline distT="0" distB="0" distL="0" distR="0" wp14:anchorId="05CD8DA8" wp14:editId="39C0178F">
          <wp:extent cx="625475" cy="228600"/>
          <wp:effectExtent l="0" t="0" r="0" b="0"/>
          <wp:docPr id="2" name="Imagem 3" descr="Ícone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Ícone  Descrição gerad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228600"/>
                  </a:xfrm>
                  <a:prstGeom prst="rect">
                    <a:avLst/>
                  </a:prstGeom>
                  <a:noFill/>
                  <a:ln>
                    <a:noFill/>
                  </a:ln>
                </pic:spPr>
              </pic:pic>
            </a:graphicData>
          </a:graphic>
        </wp:inline>
      </w:drawing>
    </w:r>
  </w:p>
  <w:p w14:paraId="05F1A203" w14:textId="77777777" w:rsidR="00F81E38"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p w14:paraId="21E102BE" w14:textId="77777777" w:rsidR="00F81E38" w:rsidRPr="00F81E38"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F80D" w14:textId="77777777" w:rsidR="00B246A5" w:rsidRDefault="00B246A5"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p w14:paraId="4B21C270" w14:textId="2D85F575" w:rsidR="00936849" w:rsidRPr="00E77461" w:rsidRDefault="00F81E38" w:rsidP="008D707D">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sidRPr="00E77461">
      <w:rPr>
        <w:noProof/>
      </w:rPr>
      <mc:AlternateContent>
        <mc:Choice Requires="wps">
          <w:drawing>
            <wp:anchor distT="0" distB="0" distL="114300" distR="114300" simplePos="0" relativeHeight="251661312" behindDoc="0" locked="0" layoutInCell="0" allowOverlap="1" wp14:anchorId="1108D28C" wp14:editId="1A81FC62">
              <wp:simplePos x="0" y="0"/>
              <wp:positionH relativeFrom="page">
                <wp:posOffset>6840220</wp:posOffset>
              </wp:positionH>
              <wp:positionV relativeFrom="page">
                <wp:posOffset>5417820</wp:posOffset>
              </wp:positionV>
              <wp:extent cx="720090" cy="329565"/>
              <wp:effectExtent l="0" t="0" r="0" b="0"/>
              <wp:wrapNone/>
              <wp:docPr id="41849506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329565"/>
                      </a:xfrm>
                      <a:prstGeom prst="rect">
                        <a:avLst/>
                      </a:prstGeom>
                      <a:solidFill>
                        <a:srgbClr val="FFFFFF"/>
                      </a:solidFill>
                      <a:ln>
                        <a:noFill/>
                      </a:ln>
                    </wps:spPr>
                    <wps:txbx>
                      <w:txbxContent>
                        <w:p w14:paraId="27D15391"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1108D28C" id="Retângulo 4" o:spid="_x0000_s1027" style="position:absolute;left:0;text-align:left;margin-left:538.6pt;margin-top:426.6pt;width:56.7pt;height:25.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" o:allowincell="f" stroked="f">
              <v:textbox>
                <w:txbxContent>
                  <w:p w14:paraId="27D15391"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sidRPr="00E77461">
      <w:rPr>
        <w:noProof/>
      </w:rPr>
      <w:drawing>
        <wp:inline distT="0" distB="0" distL="0" distR="0" wp14:anchorId="07BC05EF" wp14:editId="533C5C7E">
          <wp:extent cx="601345" cy="673735"/>
          <wp:effectExtent l="0" t="0" r="0" b="0"/>
          <wp:docPr id="384268187" name="Imagem 5" descr="Uma imagem contendo Forma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Uma imagem contendo Forma  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673735"/>
                  </a:xfrm>
                  <a:prstGeom prst="rect">
                    <a:avLst/>
                  </a:prstGeom>
                  <a:noFill/>
                  <a:ln>
                    <a:noFill/>
                  </a:ln>
                </pic:spPr>
              </pic:pic>
            </a:graphicData>
          </a:graphic>
        </wp:inline>
      </w:drawing>
    </w:r>
    <w:r w:rsidR="00D548AD" w:rsidRPr="00E77461">
      <w:rPr>
        <w:rFonts w:ascii="Garamond" w:hAnsi="Garamond"/>
        <w:sz w:val="20"/>
        <w:szCs w:val="20"/>
      </w:rPr>
      <w:t xml:space="preserve"> Revista Ibero-Americana de Humanidades, Ciências e Educação — REASE     </w:t>
    </w:r>
    <w:r w:rsidRPr="00E77461">
      <w:rPr>
        <w:rFonts w:ascii="Garamond" w:hAnsi="Garamond"/>
        <w:sz w:val="20"/>
        <w:szCs w:val="20"/>
      </w:rPr>
      <w:t xml:space="preserve"> </w:t>
    </w:r>
    <w:r w:rsidRPr="00E77461">
      <w:rPr>
        <w:rFonts w:ascii="High Tower Text" w:hAnsi="High Tower Text"/>
        <w:noProof/>
      </w:rPr>
      <w:drawing>
        <wp:inline distT="0" distB="0" distL="0" distR="0" wp14:anchorId="4DB5303B" wp14:editId="3B0814D6">
          <wp:extent cx="625475" cy="228600"/>
          <wp:effectExtent l="0" t="0" r="0" b="0"/>
          <wp:docPr id="876347534" name="Imagem 6" descr="Ícone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Ícone  Descrição gerad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C003"/>
    <w:multiLevelType w:val="hybridMultilevel"/>
    <w:tmpl w:val="82EAE60E"/>
    <w:lvl w:ilvl="0" w:tplc="341A4F1A">
      <w:start w:val="3"/>
      <w:numFmt w:val="decimal"/>
      <w:lvlText w:val="%1."/>
      <w:lvlJc w:val="left"/>
      <w:pPr>
        <w:ind w:left="720" w:hanging="360"/>
      </w:pPr>
    </w:lvl>
    <w:lvl w:ilvl="1" w:tplc="081C640A">
      <w:start w:val="1"/>
      <w:numFmt w:val="lowerLetter"/>
      <w:lvlText w:val="%2."/>
      <w:lvlJc w:val="left"/>
      <w:pPr>
        <w:ind w:left="1440" w:hanging="360"/>
      </w:pPr>
    </w:lvl>
    <w:lvl w:ilvl="2" w:tplc="292A9746">
      <w:start w:val="1"/>
      <w:numFmt w:val="lowerRoman"/>
      <w:lvlText w:val="%3."/>
      <w:lvlJc w:val="right"/>
      <w:pPr>
        <w:ind w:left="2160" w:hanging="180"/>
      </w:pPr>
    </w:lvl>
    <w:lvl w:ilvl="3" w:tplc="D80AB42C">
      <w:start w:val="1"/>
      <w:numFmt w:val="decimal"/>
      <w:lvlText w:val="%4."/>
      <w:lvlJc w:val="left"/>
      <w:pPr>
        <w:ind w:left="2880" w:hanging="360"/>
      </w:pPr>
    </w:lvl>
    <w:lvl w:ilvl="4" w:tplc="AACE215C">
      <w:start w:val="1"/>
      <w:numFmt w:val="lowerLetter"/>
      <w:lvlText w:val="%5."/>
      <w:lvlJc w:val="left"/>
      <w:pPr>
        <w:ind w:left="3600" w:hanging="360"/>
      </w:pPr>
    </w:lvl>
    <w:lvl w:ilvl="5" w:tplc="1812B6A2">
      <w:start w:val="1"/>
      <w:numFmt w:val="lowerRoman"/>
      <w:lvlText w:val="%6."/>
      <w:lvlJc w:val="right"/>
      <w:pPr>
        <w:ind w:left="4320" w:hanging="180"/>
      </w:pPr>
    </w:lvl>
    <w:lvl w:ilvl="6" w:tplc="0EB0BBF4">
      <w:start w:val="1"/>
      <w:numFmt w:val="decimal"/>
      <w:lvlText w:val="%7."/>
      <w:lvlJc w:val="left"/>
      <w:pPr>
        <w:ind w:left="5040" w:hanging="360"/>
      </w:pPr>
    </w:lvl>
    <w:lvl w:ilvl="7" w:tplc="1E16B7BA">
      <w:start w:val="1"/>
      <w:numFmt w:val="lowerLetter"/>
      <w:lvlText w:val="%8."/>
      <w:lvlJc w:val="left"/>
      <w:pPr>
        <w:ind w:left="5760" w:hanging="360"/>
      </w:pPr>
    </w:lvl>
    <w:lvl w:ilvl="8" w:tplc="EB08589A">
      <w:start w:val="1"/>
      <w:numFmt w:val="lowerRoman"/>
      <w:lvlText w:val="%9."/>
      <w:lvlJc w:val="right"/>
      <w:pPr>
        <w:ind w:left="6480" w:hanging="180"/>
      </w:pPr>
    </w:lvl>
  </w:abstractNum>
  <w:abstractNum w:abstractNumId="1" w15:restartNumberingAfterBreak="0">
    <w:nsid w:val="1B1405E4"/>
    <w:multiLevelType w:val="hybridMultilevel"/>
    <w:tmpl w:val="548A95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32CDACC"/>
    <w:multiLevelType w:val="hybridMultilevel"/>
    <w:tmpl w:val="75328590"/>
    <w:lvl w:ilvl="0" w:tplc="6B5074CA">
      <w:start w:val="1"/>
      <w:numFmt w:val="decimal"/>
      <w:lvlText w:val="●"/>
      <w:lvlJc w:val="left"/>
      <w:pPr>
        <w:ind w:left="720" w:hanging="360"/>
      </w:pPr>
    </w:lvl>
    <w:lvl w:ilvl="1" w:tplc="C6FEBB54">
      <w:start w:val="1"/>
      <w:numFmt w:val="lowerLetter"/>
      <w:lvlText w:val="%2."/>
      <w:lvlJc w:val="left"/>
      <w:pPr>
        <w:ind w:left="1440" w:hanging="360"/>
      </w:pPr>
    </w:lvl>
    <w:lvl w:ilvl="2" w:tplc="FC56F6F4">
      <w:start w:val="1"/>
      <w:numFmt w:val="lowerRoman"/>
      <w:lvlText w:val="%3."/>
      <w:lvlJc w:val="right"/>
      <w:pPr>
        <w:ind w:left="2160" w:hanging="180"/>
      </w:pPr>
    </w:lvl>
    <w:lvl w:ilvl="3" w:tplc="71FAEA24">
      <w:start w:val="1"/>
      <w:numFmt w:val="decimal"/>
      <w:lvlText w:val="%4."/>
      <w:lvlJc w:val="left"/>
      <w:pPr>
        <w:ind w:left="2880" w:hanging="360"/>
      </w:pPr>
    </w:lvl>
    <w:lvl w:ilvl="4" w:tplc="03E02816">
      <w:start w:val="1"/>
      <w:numFmt w:val="lowerLetter"/>
      <w:lvlText w:val="%5."/>
      <w:lvlJc w:val="left"/>
      <w:pPr>
        <w:ind w:left="3600" w:hanging="360"/>
      </w:pPr>
    </w:lvl>
    <w:lvl w:ilvl="5" w:tplc="4D1A6360">
      <w:start w:val="1"/>
      <w:numFmt w:val="lowerRoman"/>
      <w:lvlText w:val="%6."/>
      <w:lvlJc w:val="right"/>
      <w:pPr>
        <w:ind w:left="4320" w:hanging="180"/>
      </w:pPr>
    </w:lvl>
    <w:lvl w:ilvl="6" w:tplc="D848DD68">
      <w:start w:val="1"/>
      <w:numFmt w:val="decimal"/>
      <w:lvlText w:val="%7."/>
      <w:lvlJc w:val="left"/>
      <w:pPr>
        <w:ind w:left="5040" w:hanging="360"/>
      </w:pPr>
    </w:lvl>
    <w:lvl w:ilvl="7" w:tplc="61A8DD74">
      <w:start w:val="1"/>
      <w:numFmt w:val="lowerLetter"/>
      <w:lvlText w:val="%8."/>
      <w:lvlJc w:val="left"/>
      <w:pPr>
        <w:ind w:left="5760" w:hanging="360"/>
      </w:pPr>
    </w:lvl>
    <w:lvl w:ilvl="8" w:tplc="4AEE0776">
      <w:start w:val="1"/>
      <w:numFmt w:val="lowerRoman"/>
      <w:lvlText w:val="%9."/>
      <w:lvlJc w:val="right"/>
      <w:pPr>
        <w:ind w:left="6480" w:hanging="180"/>
      </w:pPr>
    </w:lvl>
  </w:abstractNum>
  <w:abstractNum w:abstractNumId="3" w15:restartNumberingAfterBreak="0">
    <w:nsid w:val="65466DE1"/>
    <w:multiLevelType w:val="hybridMultilevel"/>
    <w:tmpl w:val="E63C1092"/>
    <w:lvl w:ilvl="0" w:tplc="022EF02C">
      <w:start w:val="1"/>
      <w:numFmt w:val="decimal"/>
      <w:lvlText w:val="%1."/>
      <w:lvlJc w:val="left"/>
      <w:pPr>
        <w:ind w:left="720" w:hanging="360"/>
      </w:pPr>
    </w:lvl>
    <w:lvl w:ilvl="1" w:tplc="771ABC90">
      <w:start w:val="1"/>
      <w:numFmt w:val="lowerLetter"/>
      <w:lvlText w:val="%2."/>
      <w:lvlJc w:val="left"/>
      <w:pPr>
        <w:ind w:left="1440" w:hanging="360"/>
      </w:pPr>
    </w:lvl>
    <w:lvl w:ilvl="2" w:tplc="98767476">
      <w:start w:val="1"/>
      <w:numFmt w:val="lowerRoman"/>
      <w:lvlText w:val="%3."/>
      <w:lvlJc w:val="right"/>
      <w:pPr>
        <w:ind w:left="2160" w:hanging="180"/>
      </w:pPr>
    </w:lvl>
    <w:lvl w:ilvl="3" w:tplc="4A4CC640">
      <w:start w:val="1"/>
      <w:numFmt w:val="decimal"/>
      <w:lvlText w:val="%4."/>
      <w:lvlJc w:val="left"/>
      <w:pPr>
        <w:ind w:left="2880" w:hanging="360"/>
      </w:pPr>
    </w:lvl>
    <w:lvl w:ilvl="4" w:tplc="0B003CC2">
      <w:start w:val="1"/>
      <w:numFmt w:val="lowerLetter"/>
      <w:lvlText w:val="%5."/>
      <w:lvlJc w:val="left"/>
      <w:pPr>
        <w:ind w:left="3600" w:hanging="360"/>
      </w:pPr>
    </w:lvl>
    <w:lvl w:ilvl="5" w:tplc="3E42E8F0">
      <w:start w:val="1"/>
      <w:numFmt w:val="lowerRoman"/>
      <w:lvlText w:val="%6."/>
      <w:lvlJc w:val="right"/>
      <w:pPr>
        <w:ind w:left="4320" w:hanging="180"/>
      </w:pPr>
    </w:lvl>
    <w:lvl w:ilvl="6" w:tplc="CE90115C">
      <w:start w:val="1"/>
      <w:numFmt w:val="decimal"/>
      <w:lvlText w:val="%7."/>
      <w:lvlJc w:val="left"/>
      <w:pPr>
        <w:ind w:left="5040" w:hanging="360"/>
      </w:pPr>
    </w:lvl>
    <w:lvl w:ilvl="7" w:tplc="3F981784">
      <w:start w:val="1"/>
      <w:numFmt w:val="lowerLetter"/>
      <w:lvlText w:val="%8."/>
      <w:lvlJc w:val="left"/>
      <w:pPr>
        <w:ind w:left="5760" w:hanging="360"/>
      </w:pPr>
    </w:lvl>
    <w:lvl w:ilvl="8" w:tplc="ACCA7018">
      <w:start w:val="1"/>
      <w:numFmt w:val="lowerRoman"/>
      <w:lvlText w:val="%9."/>
      <w:lvlJc w:val="right"/>
      <w:pPr>
        <w:ind w:left="6480" w:hanging="180"/>
      </w:pPr>
    </w:lvl>
  </w:abstractNum>
  <w:abstractNum w:abstractNumId="4" w15:restartNumberingAfterBreak="0">
    <w:nsid w:val="74200A70"/>
    <w:multiLevelType w:val="hybridMultilevel"/>
    <w:tmpl w:val="A49EF090"/>
    <w:lvl w:ilvl="0" w:tplc="4BD48770">
      <w:start w:val="1"/>
      <w:numFmt w:val="decimal"/>
      <w:lvlText w:val="●"/>
      <w:lvlJc w:val="left"/>
      <w:pPr>
        <w:ind w:left="720" w:hanging="360"/>
      </w:pPr>
    </w:lvl>
    <w:lvl w:ilvl="1" w:tplc="621C24D2">
      <w:start w:val="1"/>
      <w:numFmt w:val="lowerLetter"/>
      <w:lvlText w:val="%2."/>
      <w:lvlJc w:val="left"/>
      <w:pPr>
        <w:ind w:left="1440" w:hanging="360"/>
      </w:pPr>
    </w:lvl>
    <w:lvl w:ilvl="2" w:tplc="1586F6A0">
      <w:start w:val="1"/>
      <w:numFmt w:val="lowerRoman"/>
      <w:lvlText w:val="%3."/>
      <w:lvlJc w:val="right"/>
      <w:pPr>
        <w:ind w:left="2160" w:hanging="180"/>
      </w:pPr>
    </w:lvl>
    <w:lvl w:ilvl="3" w:tplc="FBBE7512">
      <w:start w:val="1"/>
      <w:numFmt w:val="decimal"/>
      <w:lvlText w:val="%4."/>
      <w:lvlJc w:val="left"/>
      <w:pPr>
        <w:ind w:left="2880" w:hanging="360"/>
      </w:pPr>
    </w:lvl>
    <w:lvl w:ilvl="4" w:tplc="D06C6FBA">
      <w:start w:val="1"/>
      <w:numFmt w:val="lowerLetter"/>
      <w:lvlText w:val="%5."/>
      <w:lvlJc w:val="left"/>
      <w:pPr>
        <w:ind w:left="3600" w:hanging="360"/>
      </w:pPr>
    </w:lvl>
    <w:lvl w:ilvl="5" w:tplc="D53CE982">
      <w:start w:val="1"/>
      <w:numFmt w:val="lowerRoman"/>
      <w:lvlText w:val="%6."/>
      <w:lvlJc w:val="right"/>
      <w:pPr>
        <w:ind w:left="4320" w:hanging="180"/>
      </w:pPr>
    </w:lvl>
    <w:lvl w:ilvl="6" w:tplc="DEC492B4">
      <w:start w:val="1"/>
      <w:numFmt w:val="decimal"/>
      <w:lvlText w:val="%7."/>
      <w:lvlJc w:val="left"/>
      <w:pPr>
        <w:ind w:left="5040" w:hanging="360"/>
      </w:pPr>
    </w:lvl>
    <w:lvl w:ilvl="7" w:tplc="8F04FA86">
      <w:start w:val="1"/>
      <w:numFmt w:val="lowerLetter"/>
      <w:lvlText w:val="%8."/>
      <w:lvlJc w:val="left"/>
      <w:pPr>
        <w:ind w:left="5760" w:hanging="360"/>
      </w:pPr>
    </w:lvl>
    <w:lvl w:ilvl="8" w:tplc="73B41D02">
      <w:start w:val="1"/>
      <w:numFmt w:val="lowerRoman"/>
      <w:lvlText w:val="%9."/>
      <w:lvlJc w:val="right"/>
      <w:pPr>
        <w:ind w:left="6480" w:hanging="180"/>
      </w:pPr>
    </w:lvl>
  </w:abstractNum>
  <w:abstractNum w:abstractNumId="5" w15:restartNumberingAfterBreak="0">
    <w:nsid w:val="77DA39BD"/>
    <w:multiLevelType w:val="multilevel"/>
    <w:tmpl w:val="87B8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A2FFC"/>
    <w:multiLevelType w:val="hybridMultilevel"/>
    <w:tmpl w:val="D0AA8B7C"/>
    <w:lvl w:ilvl="0" w:tplc="AF561222">
      <w:start w:val="2"/>
      <w:numFmt w:val="decimal"/>
      <w:lvlText w:val="%1."/>
      <w:lvlJc w:val="left"/>
      <w:pPr>
        <w:ind w:left="720" w:hanging="360"/>
      </w:pPr>
    </w:lvl>
    <w:lvl w:ilvl="1" w:tplc="23C4635E">
      <w:start w:val="1"/>
      <w:numFmt w:val="lowerLetter"/>
      <w:lvlText w:val="%2."/>
      <w:lvlJc w:val="left"/>
      <w:pPr>
        <w:ind w:left="1440" w:hanging="360"/>
      </w:pPr>
    </w:lvl>
    <w:lvl w:ilvl="2" w:tplc="8FE6E3CE">
      <w:start w:val="1"/>
      <w:numFmt w:val="lowerRoman"/>
      <w:lvlText w:val="%3."/>
      <w:lvlJc w:val="right"/>
      <w:pPr>
        <w:ind w:left="2160" w:hanging="180"/>
      </w:pPr>
    </w:lvl>
    <w:lvl w:ilvl="3" w:tplc="079EAA04">
      <w:start w:val="1"/>
      <w:numFmt w:val="decimal"/>
      <w:lvlText w:val="%4."/>
      <w:lvlJc w:val="left"/>
      <w:pPr>
        <w:ind w:left="2880" w:hanging="360"/>
      </w:pPr>
    </w:lvl>
    <w:lvl w:ilvl="4" w:tplc="E1843C12">
      <w:start w:val="1"/>
      <w:numFmt w:val="lowerLetter"/>
      <w:lvlText w:val="%5."/>
      <w:lvlJc w:val="left"/>
      <w:pPr>
        <w:ind w:left="3600" w:hanging="360"/>
      </w:pPr>
    </w:lvl>
    <w:lvl w:ilvl="5" w:tplc="C99E4C94">
      <w:start w:val="1"/>
      <w:numFmt w:val="lowerRoman"/>
      <w:lvlText w:val="%6."/>
      <w:lvlJc w:val="right"/>
      <w:pPr>
        <w:ind w:left="4320" w:hanging="180"/>
      </w:pPr>
    </w:lvl>
    <w:lvl w:ilvl="6" w:tplc="3E52329C">
      <w:start w:val="1"/>
      <w:numFmt w:val="decimal"/>
      <w:lvlText w:val="%7."/>
      <w:lvlJc w:val="left"/>
      <w:pPr>
        <w:ind w:left="5040" w:hanging="360"/>
      </w:pPr>
    </w:lvl>
    <w:lvl w:ilvl="7" w:tplc="E72634E6">
      <w:start w:val="1"/>
      <w:numFmt w:val="lowerLetter"/>
      <w:lvlText w:val="%8."/>
      <w:lvlJc w:val="left"/>
      <w:pPr>
        <w:ind w:left="5760" w:hanging="360"/>
      </w:pPr>
    </w:lvl>
    <w:lvl w:ilvl="8" w:tplc="BD56299A">
      <w:start w:val="1"/>
      <w:numFmt w:val="lowerRoman"/>
      <w:lvlText w:val="%9."/>
      <w:lvlJc w:val="right"/>
      <w:pPr>
        <w:ind w:left="6480" w:hanging="180"/>
      </w:pPr>
    </w:lvl>
  </w:abstractNum>
  <w:num w:numId="1" w16cid:durableId="1197621933">
    <w:abstractNumId w:val="0"/>
  </w:num>
  <w:num w:numId="2" w16cid:durableId="418909310">
    <w:abstractNumId w:val="6"/>
  </w:num>
  <w:num w:numId="3" w16cid:durableId="634802008">
    <w:abstractNumId w:val="3"/>
  </w:num>
  <w:num w:numId="4" w16cid:durableId="48042619">
    <w:abstractNumId w:val="2"/>
  </w:num>
  <w:num w:numId="5" w16cid:durableId="829949245">
    <w:abstractNumId w:val="4"/>
  </w:num>
  <w:num w:numId="6" w16cid:durableId="925961424">
    <w:abstractNumId w:val="5"/>
  </w:num>
  <w:num w:numId="7" w16cid:durableId="902834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F1"/>
    <w:rsid w:val="00001217"/>
    <w:rsid w:val="00001E83"/>
    <w:rsid w:val="0000208E"/>
    <w:rsid w:val="00005C70"/>
    <w:rsid w:val="00010297"/>
    <w:rsid w:val="000158EC"/>
    <w:rsid w:val="00016861"/>
    <w:rsid w:val="000171B1"/>
    <w:rsid w:val="00017E8C"/>
    <w:rsid w:val="00020031"/>
    <w:rsid w:val="00020CFB"/>
    <w:rsid w:val="000212D0"/>
    <w:rsid w:val="000245F6"/>
    <w:rsid w:val="0003097B"/>
    <w:rsid w:val="00030B39"/>
    <w:rsid w:val="00032A80"/>
    <w:rsid w:val="000331DF"/>
    <w:rsid w:val="0003526F"/>
    <w:rsid w:val="00035CCE"/>
    <w:rsid w:val="0003689D"/>
    <w:rsid w:val="0004020A"/>
    <w:rsid w:val="000424E6"/>
    <w:rsid w:val="0004303B"/>
    <w:rsid w:val="00045467"/>
    <w:rsid w:val="00047CDD"/>
    <w:rsid w:val="00050E74"/>
    <w:rsid w:val="00051D16"/>
    <w:rsid w:val="000526B4"/>
    <w:rsid w:val="000529A4"/>
    <w:rsid w:val="00052EB3"/>
    <w:rsid w:val="000544C9"/>
    <w:rsid w:val="00055AFD"/>
    <w:rsid w:val="000573BF"/>
    <w:rsid w:val="00060359"/>
    <w:rsid w:val="0006416D"/>
    <w:rsid w:val="00067B0B"/>
    <w:rsid w:val="00067E66"/>
    <w:rsid w:val="00073E65"/>
    <w:rsid w:val="00073FB4"/>
    <w:rsid w:val="000747E1"/>
    <w:rsid w:val="00077F97"/>
    <w:rsid w:val="000868EC"/>
    <w:rsid w:val="000869EB"/>
    <w:rsid w:val="000946D4"/>
    <w:rsid w:val="00094F0F"/>
    <w:rsid w:val="000952B8"/>
    <w:rsid w:val="000A05C5"/>
    <w:rsid w:val="000A0D32"/>
    <w:rsid w:val="000A0DE4"/>
    <w:rsid w:val="000A1B07"/>
    <w:rsid w:val="000A2B70"/>
    <w:rsid w:val="000A393B"/>
    <w:rsid w:val="000A5267"/>
    <w:rsid w:val="000A54A6"/>
    <w:rsid w:val="000A6718"/>
    <w:rsid w:val="000A7319"/>
    <w:rsid w:val="000B0537"/>
    <w:rsid w:val="000B0938"/>
    <w:rsid w:val="000B349A"/>
    <w:rsid w:val="000B57BD"/>
    <w:rsid w:val="000B5D23"/>
    <w:rsid w:val="000B7205"/>
    <w:rsid w:val="000C2C60"/>
    <w:rsid w:val="000C77DB"/>
    <w:rsid w:val="000D3D62"/>
    <w:rsid w:val="000D43D6"/>
    <w:rsid w:val="000D550F"/>
    <w:rsid w:val="000D722D"/>
    <w:rsid w:val="000E499B"/>
    <w:rsid w:val="000E6734"/>
    <w:rsid w:val="000E69DD"/>
    <w:rsid w:val="000E6E7A"/>
    <w:rsid w:val="000E7B92"/>
    <w:rsid w:val="000F131D"/>
    <w:rsid w:val="000F3041"/>
    <w:rsid w:val="000F31D6"/>
    <w:rsid w:val="000F389D"/>
    <w:rsid w:val="000F3F8D"/>
    <w:rsid w:val="000F44F3"/>
    <w:rsid w:val="000F5D36"/>
    <w:rsid w:val="001013C5"/>
    <w:rsid w:val="001047A4"/>
    <w:rsid w:val="0010549F"/>
    <w:rsid w:val="001066AB"/>
    <w:rsid w:val="00113C39"/>
    <w:rsid w:val="00113FC1"/>
    <w:rsid w:val="00115B66"/>
    <w:rsid w:val="00116935"/>
    <w:rsid w:val="00116D70"/>
    <w:rsid w:val="00120D63"/>
    <w:rsid w:val="00121B7F"/>
    <w:rsid w:val="001244AC"/>
    <w:rsid w:val="00131CEC"/>
    <w:rsid w:val="0013763F"/>
    <w:rsid w:val="001410E5"/>
    <w:rsid w:val="00145714"/>
    <w:rsid w:val="001504AB"/>
    <w:rsid w:val="0015057E"/>
    <w:rsid w:val="00150CBC"/>
    <w:rsid w:val="00155312"/>
    <w:rsid w:val="00157705"/>
    <w:rsid w:val="001611B4"/>
    <w:rsid w:val="001614F4"/>
    <w:rsid w:val="00161E48"/>
    <w:rsid w:val="001624D9"/>
    <w:rsid w:val="001626FD"/>
    <w:rsid w:val="00162FD9"/>
    <w:rsid w:val="00166A5E"/>
    <w:rsid w:val="0017044E"/>
    <w:rsid w:val="00170546"/>
    <w:rsid w:val="001722CA"/>
    <w:rsid w:val="0017248E"/>
    <w:rsid w:val="001736E9"/>
    <w:rsid w:val="00174FE7"/>
    <w:rsid w:val="00175B6F"/>
    <w:rsid w:val="00176344"/>
    <w:rsid w:val="001842E4"/>
    <w:rsid w:val="00184907"/>
    <w:rsid w:val="0019130B"/>
    <w:rsid w:val="001931ED"/>
    <w:rsid w:val="00193B3A"/>
    <w:rsid w:val="00196634"/>
    <w:rsid w:val="00197717"/>
    <w:rsid w:val="001979A8"/>
    <w:rsid w:val="00197C32"/>
    <w:rsid w:val="001A3580"/>
    <w:rsid w:val="001A385E"/>
    <w:rsid w:val="001A5A41"/>
    <w:rsid w:val="001A64F0"/>
    <w:rsid w:val="001B0881"/>
    <w:rsid w:val="001B0E2A"/>
    <w:rsid w:val="001B1132"/>
    <w:rsid w:val="001B128B"/>
    <w:rsid w:val="001B1D8A"/>
    <w:rsid w:val="001B1DB8"/>
    <w:rsid w:val="001B2947"/>
    <w:rsid w:val="001B3581"/>
    <w:rsid w:val="001B7778"/>
    <w:rsid w:val="001C0249"/>
    <w:rsid w:val="001C51D9"/>
    <w:rsid w:val="001C66E8"/>
    <w:rsid w:val="001C73B8"/>
    <w:rsid w:val="001C73BB"/>
    <w:rsid w:val="001D2A2E"/>
    <w:rsid w:val="001E33AC"/>
    <w:rsid w:val="001E3F40"/>
    <w:rsid w:val="001E4CE3"/>
    <w:rsid w:val="001E648E"/>
    <w:rsid w:val="001E7DE5"/>
    <w:rsid w:val="001F163E"/>
    <w:rsid w:val="001F21E0"/>
    <w:rsid w:val="001F53B5"/>
    <w:rsid w:val="001F549C"/>
    <w:rsid w:val="001F5693"/>
    <w:rsid w:val="001F5D73"/>
    <w:rsid w:val="001F6C31"/>
    <w:rsid w:val="001F70E6"/>
    <w:rsid w:val="001F7404"/>
    <w:rsid w:val="001F76E1"/>
    <w:rsid w:val="002024D9"/>
    <w:rsid w:val="0020252C"/>
    <w:rsid w:val="00205222"/>
    <w:rsid w:val="00205A11"/>
    <w:rsid w:val="0021020E"/>
    <w:rsid w:val="00210527"/>
    <w:rsid w:val="00210E66"/>
    <w:rsid w:val="0021119D"/>
    <w:rsid w:val="002114D9"/>
    <w:rsid w:val="00212847"/>
    <w:rsid w:val="00213D88"/>
    <w:rsid w:val="002204FD"/>
    <w:rsid w:val="002220C6"/>
    <w:rsid w:val="0022239F"/>
    <w:rsid w:val="00223626"/>
    <w:rsid w:val="002250CF"/>
    <w:rsid w:val="00225A84"/>
    <w:rsid w:val="00226376"/>
    <w:rsid w:val="002276D7"/>
    <w:rsid w:val="00227858"/>
    <w:rsid w:val="00232F97"/>
    <w:rsid w:val="00233A28"/>
    <w:rsid w:val="00234A69"/>
    <w:rsid w:val="00237121"/>
    <w:rsid w:val="00240897"/>
    <w:rsid w:val="00240FB4"/>
    <w:rsid w:val="002416BE"/>
    <w:rsid w:val="0024190B"/>
    <w:rsid w:val="002422C8"/>
    <w:rsid w:val="00243411"/>
    <w:rsid w:val="00243A82"/>
    <w:rsid w:val="002447B5"/>
    <w:rsid w:val="002451AD"/>
    <w:rsid w:val="00250BC2"/>
    <w:rsid w:val="002521E1"/>
    <w:rsid w:val="0026024E"/>
    <w:rsid w:val="0026288F"/>
    <w:rsid w:val="002672A4"/>
    <w:rsid w:val="00280E76"/>
    <w:rsid w:val="00285592"/>
    <w:rsid w:val="00285AA5"/>
    <w:rsid w:val="002869A4"/>
    <w:rsid w:val="002904E0"/>
    <w:rsid w:val="0029280D"/>
    <w:rsid w:val="00293989"/>
    <w:rsid w:val="00294E45"/>
    <w:rsid w:val="002959BA"/>
    <w:rsid w:val="00296171"/>
    <w:rsid w:val="00296361"/>
    <w:rsid w:val="002A22AE"/>
    <w:rsid w:val="002A2B05"/>
    <w:rsid w:val="002A2D96"/>
    <w:rsid w:val="002A2DFC"/>
    <w:rsid w:val="002A5DCF"/>
    <w:rsid w:val="002A7090"/>
    <w:rsid w:val="002A769F"/>
    <w:rsid w:val="002B0B3B"/>
    <w:rsid w:val="002B1469"/>
    <w:rsid w:val="002B3D1A"/>
    <w:rsid w:val="002B4DC0"/>
    <w:rsid w:val="002B59E5"/>
    <w:rsid w:val="002B6EC3"/>
    <w:rsid w:val="002C1D81"/>
    <w:rsid w:val="002C4AEC"/>
    <w:rsid w:val="002C5192"/>
    <w:rsid w:val="002D17BA"/>
    <w:rsid w:val="002D2F92"/>
    <w:rsid w:val="002D41E8"/>
    <w:rsid w:val="002D6132"/>
    <w:rsid w:val="002D68B7"/>
    <w:rsid w:val="002E012B"/>
    <w:rsid w:val="002E5AF6"/>
    <w:rsid w:val="002E6FEB"/>
    <w:rsid w:val="002E71D7"/>
    <w:rsid w:val="002F1D9D"/>
    <w:rsid w:val="002F59C4"/>
    <w:rsid w:val="00303D64"/>
    <w:rsid w:val="00304AEC"/>
    <w:rsid w:val="00304E58"/>
    <w:rsid w:val="00305C40"/>
    <w:rsid w:val="00306CEB"/>
    <w:rsid w:val="00307A8F"/>
    <w:rsid w:val="0031013E"/>
    <w:rsid w:val="00314D95"/>
    <w:rsid w:val="00317A94"/>
    <w:rsid w:val="003202A9"/>
    <w:rsid w:val="00322A72"/>
    <w:rsid w:val="003246B6"/>
    <w:rsid w:val="00324B98"/>
    <w:rsid w:val="00324DA0"/>
    <w:rsid w:val="00324E4A"/>
    <w:rsid w:val="0033081F"/>
    <w:rsid w:val="003311EB"/>
    <w:rsid w:val="00332893"/>
    <w:rsid w:val="0033504A"/>
    <w:rsid w:val="00335B53"/>
    <w:rsid w:val="0033750D"/>
    <w:rsid w:val="00341F81"/>
    <w:rsid w:val="003459B9"/>
    <w:rsid w:val="00345B03"/>
    <w:rsid w:val="00346001"/>
    <w:rsid w:val="00347102"/>
    <w:rsid w:val="00350C60"/>
    <w:rsid w:val="00352642"/>
    <w:rsid w:val="003578C2"/>
    <w:rsid w:val="00363731"/>
    <w:rsid w:val="00370D68"/>
    <w:rsid w:val="00373D8D"/>
    <w:rsid w:val="003740C8"/>
    <w:rsid w:val="00374278"/>
    <w:rsid w:val="003758FC"/>
    <w:rsid w:val="00375FED"/>
    <w:rsid w:val="00376079"/>
    <w:rsid w:val="0037662A"/>
    <w:rsid w:val="003811A7"/>
    <w:rsid w:val="00385881"/>
    <w:rsid w:val="00387BA4"/>
    <w:rsid w:val="0039317D"/>
    <w:rsid w:val="00394491"/>
    <w:rsid w:val="00395CBA"/>
    <w:rsid w:val="00396725"/>
    <w:rsid w:val="00396882"/>
    <w:rsid w:val="003A0C58"/>
    <w:rsid w:val="003A1113"/>
    <w:rsid w:val="003A251C"/>
    <w:rsid w:val="003A2909"/>
    <w:rsid w:val="003A2D59"/>
    <w:rsid w:val="003A6D8F"/>
    <w:rsid w:val="003A79E7"/>
    <w:rsid w:val="003A7F5C"/>
    <w:rsid w:val="003B130C"/>
    <w:rsid w:val="003B4B13"/>
    <w:rsid w:val="003B5AD2"/>
    <w:rsid w:val="003B6EC0"/>
    <w:rsid w:val="003C03C5"/>
    <w:rsid w:val="003C048C"/>
    <w:rsid w:val="003C04FE"/>
    <w:rsid w:val="003C0913"/>
    <w:rsid w:val="003C15E6"/>
    <w:rsid w:val="003C198C"/>
    <w:rsid w:val="003C1E46"/>
    <w:rsid w:val="003C3DEC"/>
    <w:rsid w:val="003C6589"/>
    <w:rsid w:val="003D0A67"/>
    <w:rsid w:val="003D32F8"/>
    <w:rsid w:val="003D5074"/>
    <w:rsid w:val="003D5DE0"/>
    <w:rsid w:val="003D630C"/>
    <w:rsid w:val="003D7A36"/>
    <w:rsid w:val="003D7E1A"/>
    <w:rsid w:val="003E1985"/>
    <w:rsid w:val="003E1C9F"/>
    <w:rsid w:val="003E2688"/>
    <w:rsid w:val="003E424B"/>
    <w:rsid w:val="003E55C7"/>
    <w:rsid w:val="003E5A58"/>
    <w:rsid w:val="003E62A3"/>
    <w:rsid w:val="003E6AC3"/>
    <w:rsid w:val="003F0BDA"/>
    <w:rsid w:val="003F21C3"/>
    <w:rsid w:val="003F2DDA"/>
    <w:rsid w:val="003F3483"/>
    <w:rsid w:val="003F3A68"/>
    <w:rsid w:val="003F6194"/>
    <w:rsid w:val="003F69E4"/>
    <w:rsid w:val="00402FF8"/>
    <w:rsid w:val="00413340"/>
    <w:rsid w:val="00420349"/>
    <w:rsid w:val="00426077"/>
    <w:rsid w:val="00430000"/>
    <w:rsid w:val="00430675"/>
    <w:rsid w:val="004330F4"/>
    <w:rsid w:val="00434EBC"/>
    <w:rsid w:val="00436B77"/>
    <w:rsid w:val="0043726E"/>
    <w:rsid w:val="004447C0"/>
    <w:rsid w:val="00444809"/>
    <w:rsid w:val="00447017"/>
    <w:rsid w:val="00447B04"/>
    <w:rsid w:val="0045150E"/>
    <w:rsid w:val="004523CD"/>
    <w:rsid w:val="00452831"/>
    <w:rsid w:val="0045546C"/>
    <w:rsid w:val="00455632"/>
    <w:rsid w:val="004603AD"/>
    <w:rsid w:val="00466C9E"/>
    <w:rsid w:val="0047097D"/>
    <w:rsid w:val="00471544"/>
    <w:rsid w:val="004716C3"/>
    <w:rsid w:val="00476A79"/>
    <w:rsid w:val="004771F1"/>
    <w:rsid w:val="00480357"/>
    <w:rsid w:val="0048035E"/>
    <w:rsid w:val="00484FAF"/>
    <w:rsid w:val="00490630"/>
    <w:rsid w:val="00490FF9"/>
    <w:rsid w:val="00493E7F"/>
    <w:rsid w:val="00494F7C"/>
    <w:rsid w:val="00495F06"/>
    <w:rsid w:val="004A0A6E"/>
    <w:rsid w:val="004A1556"/>
    <w:rsid w:val="004A2EBA"/>
    <w:rsid w:val="004B142F"/>
    <w:rsid w:val="004B20B5"/>
    <w:rsid w:val="004B2D16"/>
    <w:rsid w:val="004B401E"/>
    <w:rsid w:val="004B57B8"/>
    <w:rsid w:val="004B7601"/>
    <w:rsid w:val="004C12CB"/>
    <w:rsid w:val="004C1AB7"/>
    <w:rsid w:val="004C2D05"/>
    <w:rsid w:val="004C507F"/>
    <w:rsid w:val="004C5653"/>
    <w:rsid w:val="004C7EE3"/>
    <w:rsid w:val="004D0B0D"/>
    <w:rsid w:val="004D4B35"/>
    <w:rsid w:val="004D5278"/>
    <w:rsid w:val="004D568D"/>
    <w:rsid w:val="004D62B7"/>
    <w:rsid w:val="004D6BB7"/>
    <w:rsid w:val="004E150B"/>
    <w:rsid w:val="004E2D62"/>
    <w:rsid w:val="004E36B0"/>
    <w:rsid w:val="004E6969"/>
    <w:rsid w:val="004F013C"/>
    <w:rsid w:val="004F11D6"/>
    <w:rsid w:val="004F2B83"/>
    <w:rsid w:val="004F2F3B"/>
    <w:rsid w:val="004F35D4"/>
    <w:rsid w:val="004F60A5"/>
    <w:rsid w:val="004F6254"/>
    <w:rsid w:val="004F66F3"/>
    <w:rsid w:val="00501ADB"/>
    <w:rsid w:val="00504D57"/>
    <w:rsid w:val="00511156"/>
    <w:rsid w:val="00512DE4"/>
    <w:rsid w:val="00516F1F"/>
    <w:rsid w:val="00517986"/>
    <w:rsid w:val="00520005"/>
    <w:rsid w:val="005207D9"/>
    <w:rsid w:val="00521C56"/>
    <w:rsid w:val="005226CA"/>
    <w:rsid w:val="00523458"/>
    <w:rsid w:val="005265D9"/>
    <w:rsid w:val="005308F7"/>
    <w:rsid w:val="00531456"/>
    <w:rsid w:val="00537E13"/>
    <w:rsid w:val="00543D51"/>
    <w:rsid w:val="0054440F"/>
    <w:rsid w:val="0054452B"/>
    <w:rsid w:val="0054462C"/>
    <w:rsid w:val="00545ACC"/>
    <w:rsid w:val="00545EA0"/>
    <w:rsid w:val="00547AB3"/>
    <w:rsid w:val="00547F55"/>
    <w:rsid w:val="00551BA6"/>
    <w:rsid w:val="005522C1"/>
    <w:rsid w:val="0055239C"/>
    <w:rsid w:val="00553085"/>
    <w:rsid w:val="00554351"/>
    <w:rsid w:val="00555EC2"/>
    <w:rsid w:val="00556390"/>
    <w:rsid w:val="0056212D"/>
    <w:rsid w:val="005676DA"/>
    <w:rsid w:val="005677AA"/>
    <w:rsid w:val="00567D8F"/>
    <w:rsid w:val="00574519"/>
    <w:rsid w:val="00574CB7"/>
    <w:rsid w:val="005753BF"/>
    <w:rsid w:val="00575C4E"/>
    <w:rsid w:val="00575FCB"/>
    <w:rsid w:val="005771D1"/>
    <w:rsid w:val="00580074"/>
    <w:rsid w:val="00581F23"/>
    <w:rsid w:val="00582946"/>
    <w:rsid w:val="0058298E"/>
    <w:rsid w:val="00583C2B"/>
    <w:rsid w:val="00584987"/>
    <w:rsid w:val="00585776"/>
    <w:rsid w:val="00585EBE"/>
    <w:rsid w:val="00590683"/>
    <w:rsid w:val="0059188D"/>
    <w:rsid w:val="005A2085"/>
    <w:rsid w:val="005A21E9"/>
    <w:rsid w:val="005A407E"/>
    <w:rsid w:val="005A6138"/>
    <w:rsid w:val="005B043A"/>
    <w:rsid w:val="005B09AA"/>
    <w:rsid w:val="005B1B00"/>
    <w:rsid w:val="005B2B1A"/>
    <w:rsid w:val="005B2B3C"/>
    <w:rsid w:val="005B3355"/>
    <w:rsid w:val="005B3F3A"/>
    <w:rsid w:val="005C1AD1"/>
    <w:rsid w:val="005C2DF1"/>
    <w:rsid w:val="005C4D0D"/>
    <w:rsid w:val="005C7D66"/>
    <w:rsid w:val="005D00F5"/>
    <w:rsid w:val="005D1A7D"/>
    <w:rsid w:val="005D4860"/>
    <w:rsid w:val="005D56A1"/>
    <w:rsid w:val="005D5C4C"/>
    <w:rsid w:val="005D7536"/>
    <w:rsid w:val="005E3646"/>
    <w:rsid w:val="005E3DA1"/>
    <w:rsid w:val="005E4663"/>
    <w:rsid w:val="005E48B0"/>
    <w:rsid w:val="005E7AA6"/>
    <w:rsid w:val="005F40A7"/>
    <w:rsid w:val="005F5555"/>
    <w:rsid w:val="005F5652"/>
    <w:rsid w:val="005F5889"/>
    <w:rsid w:val="005F5D1F"/>
    <w:rsid w:val="005F7650"/>
    <w:rsid w:val="00605A30"/>
    <w:rsid w:val="00605D90"/>
    <w:rsid w:val="00606FB8"/>
    <w:rsid w:val="006105E5"/>
    <w:rsid w:val="00610E56"/>
    <w:rsid w:val="006132F3"/>
    <w:rsid w:val="00613B61"/>
    <w:rsid w:val="00613F8C"/>
    <w:rsid w:val="00616521"/>
    <w:rsid w:val="00622F49"/>
    <w:rsid w:val="00627A0A"/>
    <w:rsid w:val="00630843"/>
    <w:rsid w:val="00630B30"/>
    <w:rsid w:val="00631F1D"/>
    <w:rsid w:val="00632DE0"/>
    <w:rsid w:val="00633060"/>
    <w:rsid w:val="00635A7F"/>
    <w:rsid w:val="0064662E"/>
    <w:rsid w:val="0064799C"/>
    <w:rsid w:val="00650877"/>
    <w:rsid w:val="00651646"/>
    <w:rsid w:val="00651746"/>
    <w:rsid w:val="0065185A"/>
    <w:rsid w:val="0065253E"/>
    <w:rsid w:val="00653789"/>
    <w:rsid w:val="00653B5D"/>
    <w:rsid w:val="006604CC"/>
    <w:rsid w:val="00660F75"/>
    <w:rsid w:val="006617F5"/>
    <w:rsid w:val="006632A1"/>
    <w:rsid w:val="00670155"/>
    <w:rsid w:val="00670E94"/>
    <w:rsid w:val="00674DE2"/>
    <w:rsid w:val="00681FA8"/>
    <w:rsid w:val="0068221B"/>
    <w:rsid w:val="00682C66"/>
    <w:rsid w:val="0068596F"/>
    <w:rsid w:val="006861A1"/>
    <w:rsid w:val="006863E1"/>
    <w:rsid w:val="00687010"/>
    <w:rsid w:val="0068731D"/>
    <w:rsid w:val="00687853"/>
    <w:rsid w:val="0069347C"/>
    <w:rsid w:val="00693568"/>
    <w:rsid w:val="006971FC"/>
    <w:rsid w:val="006A14BD"/>
    <w:rsid w:val="006A2153"/>
    <w:rsid w:val="006A3432"/>
    <w:rsid w:val="006A3ADC"/>
    <w:rsid w:val="006A5531"/>
    <w:rsid w:val="006A5677"/>
    <w:rsid w:val="006A6825"/>
    <w:rsid w:val="006B1347"/>
    <w:rsid w:val="006B40E2"/>
    <w:rsid w:val="006B5A29"/>
    <w:rsid w:val="006C0302"/>
    <w:rsid w:val="006C305B"/>
    <w:rsid w:val="006C418B"/>
    <w:rsid w:val="006C449A"/>
    <w:rsid w:val="006C56C7"/>
    <w:rsid w:val="006C693A"/>
    <w:rsid w:val="006C7DE0"/>
    <w:rsid w:val="006C7EC6"/>
    <w:rsid w:val="006D1B59"/>
    <w:rsid w:val="006D3581"/>
    <w:rsid w:val="006D3E54"/>
    <w:rsid w:val="006D524B"/>
    <w:rsid w:val="006D6BFD"/>
    <w:rsid w:val="006E06D4"/>
    <w:rsid w:val="006E06E2"/>
    <w:rsid w:val="006E14B0"/>
    <w:rsid w:val="006E2538"/>
    <w:rsid w:val="006E27DC"/>
    <w:rsid w:val="006E2E84"/>
    <w:rsid w:val="006E3280"/>
    <w:rsid w:val="006E4F41"/>
    <w:rsid w:val="006E55B2"/>
    <w:rsid w:val="006E6102"/>
    <w:rsid w:val="006E6B0F"/>
    <w:rsid w:val="006E76F7"/>
    <w:rsid w:val="006F362A"/>
    <w:rsid w:val="006F3D67"/>
    <w:rsid w:val="006F65D2"/>
    <w:rsid w:val="006F67A5"/>
    <w:rsid w:val="00701739"/>
    <w:rsid w:val="00701FFC"/>
    <w:rsid w:val="00702044"/>
    <w:rsid w:val="0071246E"/>
    <w:rsid w:val="00715C37"/>
    <w:rsid w:val="007217E1"/>
    <w:rsid w:val="00723B87"/>
    <w:rsid w:val="00724C77"/>
    <w:rsid w:val="00727705"/>
    <w:rsid w:val="00732B70"/>
    <w:rsid w:val="00733716"/>
    <w:rsid w:val="007344C4"/>
    <w:rsid w:val="00735ADC"/>
    <w:rsid w:val="00742AED"/>
    <w:rsid w:val="00742B35"/>
    <w:rsid w:val="0074661A"/>
    <w:rsid w:val="00747586"/>
    <w:rsid w:val="00752032"/>
    <w:rsid w:val="00752469"/>
    <w:rsid w:val="00753E10"/>
    <w:rsid w:val="0075505D"/>
    <w:rsid w:val="00755E1C"/>
    <w:rsid w:val="00760331"/>
    <w:rsid w:val="0076048F"/>
    <w:rsid w:val="00761991"/>
    <w:rsid w:val="00761D2E"/>
    <w:rsid w:val="0076236E"/>
    <w:rsid w:val="00764739"/>
    <w:rsid w:val="00764E19"/>
    <w:rsid w:val="0076537E"/>
    <w:rsid w:val="00770E18"/>
    <w:rsid w:val="007715F2"/>
    <w:rsid w:val="007717EB"/>
    <w:rsid w:val="0078586E"/>
    <w:rsid w:val="00785904"/>
    <w:rsid w:val="00786E00"/>
    <w:rsid w:val="00790D14"/>
    <w:rsid w:val="0079178C"/>
    <w:rsid w:val="0079226E"/>
    <w:rsid w:val="00792936"/>
    <w:rsid w:val="0079627E"/>
    <w:rsid w:val="007A0345"/>
    <w:rsid w:val="007A0863"/>
    <w:rsid w:val="007A0EE7"/>
    <w:rsid w:val="007A22AA"/>
    <w:rsid w:val="007A31E7"/>
    <w:rsid w:val="007A3AA0"/>
    <w:rsid w:val="007A6CB3"/>
    <w:rsid w:val="007B0DAC"/>
    <w:rsid w:val="007B377E"/>
    <w:rsid w:val="007B47DA"/>
    <w:rsid w:val="007B53E0"/>
    <w:rsid w:val="007B5692"/>
    <w:rsid w:val="007B573E"/>
    <w:rsid w:val="007C0D27"/>
    <w:rsid w:val="007C116A"/>
    <w:rsid w:val="007C15E9"/>
    <w:rsid w:val="007C1864"/>
    <w:rsid w:val="007C40BD"/>
    <w:rsid w:val="007C49D7"/>
    <w:rsid w:val="007C49E0"/>
    <w:rsid w:val="007C5ACA"/>
    <w:rsid w:val="007D4177"/>
    <w:rsid w:val="007D5841"/>
    <w:rsid w:val="007D6DDA"/>
    <w:rsid w:val="007E3D53"/>
    <w:rsid w:val="007E5512"/>
    <w:rsid w:val="007E68BA"/>
    <w:rsid w:val="007F722B"/>
    <w:rsid w:val="0080287C"/>
    <w:rsid w:val="00805E3E"/>
    <w:rsid w:val="008069B7"/>
    <w:rsid w:val="00810D2B"/>
    <w:rsid w:val="008122A8"/>
    <w:rsid w:val="00812478"/>
    <w:rsid w:val="008137EC"/>
    <w:rsid w:val="0081388B"/>
    <w:rsid w:val="00817B28"/>
    <w:rsid w:val="00817C09"/>
    <w:rsid w:val="0082158E"/>
    <w:rsid w:val="008227B2"/>
    <w:rsid w:val="0082429D"/>
    <w:rsid w:val="008263AB"/>
    <w:rsid w:val="008377C2"/>
    <w:rsid w:val="00837C03"/>
    <w:rsid w:val="00840667"/>
    <w:rsid w:val="00843654"/>
    <w:rsid w:val="00844972"/>
    <w:rsid w:val="00844BA8"/>
    <w:rsid w:val="0084735E"/>
    <w:rsid w:val="00851C7D"/>
    <w:rsid w:val="00857F11"/>
    <w:rsid w:val="008630E6"/>
    <w:rsid w:val="00866069"/>
    <w:rsid w:val="0086698D"/>
    <w:rsid w:val="00870BCC"/>
    <w:rsid w:val="008710EB"/>
    <w:rsid w:val="008715A8"/>
    <w:rsid w:val="008729A5"/>
    <w:rsid w:val="008762E8"/>
    <w:rsid w:val="00882EF7"/>
    <w:rsid w:val="008859F5"/>
    <w:rsid w:val="00885F09"/>
    <w:rsid w:val="008929DD"/>
    <w:rsid w:val="00895899"/>
    <w:rsid w:val="00896D51"/>
    <w:rsid w:val="00896EF0"/>
    <w:rsid w:val="00897B38"/>
    <w:rsid w:val="008A0006"/>
    <w:rsid w:val="008A0E11"/>
    <w:rsid w:val="008A1B53"/>
    <w:rsid w:val="008A206C"/>
    <w:rsid w:val="008A220C"/>
    <w:rsid w:val="008A251A"/>
    <w:rsid w:val="008A28D3"/>
    <w:rsid w:val="008A76C2"/>
    <w:rsid w:val="008B17E4"/>
    <w:rsid w:val="008B21F2"/>
    <w:rsid w:val="008B57BB"/>
    <w:rsid w:val="008C09D1"/>
    <w:rsid w:val="008C18E6"/>
    <w:rsid w:val="008C24BD"/>
    <w:rsid w:val="008C4131"/>
    <w:rsid w:val="008C5356"/>
    <w:rsid w:val="008C5D5C"/>
    <w:rsid w:val="008C7DC7"/>
    <w:rsid w:val="008C7E47"/>
    <w:rsid w:val="008D0035"/>
    <w:rsid w:val="008D1F4A"/>
    <w:rsid w:val="008D5DB9"/>
    <w:rsid w:val="008D707D"/>
    <w:rsid w:val="008E0FEC"/>
    <w:rsid w:val="008E2FAD"/>
    <w:rsid w:val="008E32E4"/>
    <w:rsid w:val="008E39E9"/>
    <w:rsid w:val="008E3FFD"/>
    <w:rsid w:val="008E40A7"/>
    <w:rsid w:val="008F1A7A"/>
    <w:rsid w:val="008F5DAE"/>
    <w:rsid w:val="00900536"/>
    <w:rsid w:val="00901375"/>
    <w:rsid w:val="009015B0"/>
    <w:rsid w:val="00904779"/>
    <w:rsid w:val="009067C5"/>
    <w:rsid w:val="00907308"/>
    <w:rsid w:val="00916D89"/>
    <w:rsid w:val="009176EC"/>
    <w:rsid w:val="0092014D"/>
    <w:rsid w:val="0092262C"/>
    <w:rsid w:val="00922C42"/>
    <w:rsid w:val="009237EF"/>
    <w:rsid w:val="009253DA"/>
    <w:rsid w:val="0092555E"/>
    <w:rsid w:val="009266CC"/>
    <w:rsid w:val="0093114B"/>
    <w:rsid w:val="00931195"/>
    <w:rsid w:val="0093201E"/>
    <w:rsid w:val="0093317F"/>
    <w:rsid w:val="009336B9"/>
    <w:rsid w:val="00933E86"/>
    <w:rsid w:val="00933FEE"/>
    <w:rsid w:val="00934393"/>
    <w:rsid w:val="00934F7D"/>
    <w:rsid w:val="009358BE"/>
    <w:rsid w:val="00936849"/>
    <w:rsid w:val="009377CC"/>
    <w:rsid w:val="009401F4"/>
    <w:rsid w:val="009419F5"/>
    <w:rsid w:val="00951651"/>
    <w:rsid w:val="009516F7"/>
    <w:rsid w:val="00953535"/>
    <w:rsid w:val="009556D8"/>
    <w:rsid w:val="00957442"/>
    <w:rsid w:val="00961966"/>
    <w:rsid w:val="0097251D"/>
    <w:rsid w:val="00977B1C"/>
    <w:rsid w:val="00980996"/>
    <w:rsid w:val="00981D34"/>
    <w:rsid w:val="00981EBD"/>
    <w:rsid w:val="00982260"/>
    <w:rsid w:val="0098316F"/>
    <w:rsid w:val="00985B44"/>
    <w:rsid w:val="00987A5E"/>
    <w:rsid w:val="009921BE"/>
    <w:rsid w:val="0099515A"/>
    <w:rsid w:val="009966A3"/>
    <w:rsid w:val="00996D7B"/>
    <w:rsid w:val="009A0C74"/>
    <w:rsid w:val="009A46B6"/>
    <w:rsid w:val="009A5A4C"/>
    <w:rsid w:val="009A6BAD"/>
    <w:rsid w:val="009A736C"/>
    <w:rsid w:val="009B7264"/>
    <w:rsid w:val="009B76AD"/>
    <w:rsid w:val="009B787D"/>
    <w:rsid w:val="009B7FE1"/>
    <w:rsid w:val="009C05EC"/>
    <w:rsid w:val="009C18A7"/>
    <w:rsid w:val="009C540D"/>
    <w:rsid w:val="009D1CB3"/>
    <w:rsid w:val="009D42DF"/>
    <w:rsid w:val="009D4933"/>
    <w:rsid w:val="009D5174"/>
    <w:rsid w:val="009E2060"/>
    <w:rsid w:val="009E2D9E"/>
    <w:rsid w:val="009E7486"/>
    <w:rsid w:val="009F0CEF"/>
    <w:rsid w:val="009F16A5"/>
    <w:rsid w:val="009F216C"/>
    <w:rsid w:val="009F3018"/>
    <w:rsid w:val="009F31DB"/>
    <w:rsid w:val="009F66A1"/>
    <w:rsid w:val="00A0143B"/>
    <w:rsid w:val="00A0248B"/>
    <w:rsid w:val="00A06F70"/>
    <w:rsid w:val="00A10992"/>
    <w:rsid w:val="00A10C49"/>
    <w:rsid w:val="00A16647"/>
    <w:rsid w:val="00A2170F"/>
    <w:rsid w:val="00A21F0C"/>
    <w:rsid w:val="00A2506F"/>
    <w:rsid w:val="00A255B6"/>
    <w:rsid w:val="00A26126"/>
    <w:rsid w:val="00A30109"/>
    <w:rsid w:val="00A30B8B"/>
    <w:rsid w:val="00A34C12"/>
    <w:rsid w:val="00A41B96"/>
    <w:rsid w:val="00A477C7"/>
    <w:rsid w:val="00A47BB7"/>
    <w:rsid w:val="00A50CD9"/>
    <w:rsid w:val="00A5417B"/>
    <w:rsid w:val="00A553C7"/>
    <w:rsid w:val="00A60285"/>
    <w:rsid w:val="00A6214C"/>
    <w:rsid w:val="00A63524"/>
    <w:rsid w:val="00A64BB3"/>
    <w:rsid w:val="00A661E6"/>
    <w:rsid w:val="00A66D23"/>
    <w:rsid w:val="00A67C53"/>
    <w:rsid w:val="00A72459"/>
    <w:rsid w:val="00A734B1"/>
    <w:rsid w:val="00A7595C"/>
    <w:rsid w:val="00A766CE"/>
    <w:rsid w:val="00A8065A"/>
    <w:rsid w:val="00A8188D"/>
    <w:rsid w:val="00A82430"/>
    <w:rsid w:val="00A83833"/>
    <w:rsid w:val="00A8783D"/>
    <w:rsid w:val="00A90C5A"/>
    <w:rsid w:val="00A9457D"/>
    <w:rsid w:val="00A947B7"/>
    <w:rsid w:val="00A955BC"/>
    <w:rsid w:val="00A96381"/>
    <w:rsid w:val="00AA047B"/>
    <w:rsid w:val="00AA429A"/>
    <w:rsid w:val="00AA451B"/>
    <w:rsid w:val="00AA70FA"/>
    <w:rsid w:val="00AA715B"/>
    <w:rsid w:val="00AB0180"/>
    <w:rsid w:val="00AB29B0"/>
    <w:rsid w:val="00AB616E"/>
    <w:rsid w:val="00AC0A5C"/>
    <w:rsid w:val="00AC2336"/>
    <w:rsid w:val="00AC3942"/>
    <w:rsid w:val="00AC42FC"/>
    <w:rsid w:val="00AE0B3D"/>
    <w:rsid w:val="00AE28F7"/>
    <w:rsid w:val="00AE3590"/>
    <w:rsid w:val="00AE53FF"/>
    <w:rsid w:val="00AF0764"/>
    <w:rsid w:val="00AF2C4E"/>
    <w:rsid w:val="00AF36FB"/>
    <w:rsid w:val="00AF397B"/>
    <w:rsid w:val="00AF64EB"/>
    <w:rsid w:val="00AF7117"/>
    <w:rsid w:val="00B03CA6"/>
    <w:rsid w:val="00B03FAF"/>
    <w:rsid w:val="00B06423"/>
    <w:rsid w:val="00B06430"/>
    <w:rsid w:val="00B06B46"/>
    <w:rsid w:val="00B10748"/>
    <w:rsid w:val="00B13040"/>
    <w:rsid w:val="00B137B3"/>
    <w:rsid w:val="00B152AC"/>
    <w:rsid w:val="00B1535C"/>
    <w:rsid w:val="00B15F68"/>
    <w:rsid w:val="00B16BC3"/>
    <w:rsid w:val="00B179E6"/>
    <w:rsid w:val="00B21441"/>
    <w:rsid w:val="00B21A66"/>
    <w:rsid w:val="00B22A80"/>
    <w:rsid w:val="00B231EF"/>
    <w:rsid w:val="00B241AE"/>
    <w:rsid w:val="00B246A5"/>
    <w:rsid w:val="00B2599E"/>
    <w:rsid w:val="00B30470"/>
    <w:rsid w:val="00B32630"/>
    <w:rsid w:val="00B3280C"/>
    <w:rsid w:val="00B33894"/>
    <w:rsid w:val="00B3515B"/>
    <w:rsid w:val="00B37D33"/>
    <w:rsid w:val="00B40552"/>
    <w:rsid w:val="00B4433E"/>
    <w:rsid w:val="00B46216"/>
    <w:rsid w:val="00B47A1F"/>
    <w:rsid w:val="00B50978"/>
    <w:rsid w:val="00B51044"/>
    <w:rsid w:val="00B527B2"/>
    <w:rsid w:val="00B52AD5"/>
    <w:rsid w:val="00B52F31"/>
    <w:rsid w:val="00B55122"/>
    <w:rsid w:val="00B55BC9"/>
    <w:rsid w:val="00B56B48"/>
    <w:rsid w:val="00B606A3"/>
    <w:rsid w:val="00B628CA"/>
    <w:rsid w:val="00B7030A"/>
    <w:rsid w:val="00B70E58"/>
    <w:rsid w:val="00B72530"/>
    <w:rsid w:val="00B7287B"/>
    <w:rsid w:val="00B73564"/>
    <w:rsid w:val="00B754BA"/>
    <w:rsid w:val="00B756BD"/>
    <w:rsid w:val="00B77F19"/>
    <w:rsid w:val="00B81583"/>
    <w:rsid w:val="00B84A8D"/>
    <w:rsid w:val="00B8785C"/>
    <w:rsid w:val="00B9164C"/>
    <w:rsid w:val="00B9414F"/>
    <w:rsid w:val="00B94A99"/>
    <w:rsid w:val="00B953C5"/>
    <w:rsid w:val="00B95D55"/>
    <w:rsid w:val="00B95F25"/>
    <w:rsid w:val="00BA1036"/>
    <w:rsid w:val="00BA1B36"/>
    <w:rsid w:val="00BA1C34"/>
    <w:rsid w:val="00BA209E"/>
    <w:rsid w:val="00BA3495"/>
    <w:rsid w:val="00BA60D2"/>
    <w:rsid w:val="00BA74B3"/>
    <w:rsid w:val="00BB14EE"/>
    <w:rsid w:val="00BB186A"/>
    <w:rsid w:val="00BB4BE5"/>
    <w:rsid w:val="00BB549E"/>
    <w:rsid w:val="00BB6CD0"/>
    <w:rsid w:val="00BB77A6"/>
    <w:rsid w:val="00BC13E5"/>
    <w:rsid w:val="00BC4140"/>
    <w:rsid w:val="00BD5CA9"/>
    <w:rsid w:val="00BD70B2"/>
    <w:rsid w:val="00BD7CFE"/>
    <w:rsid w:val="00BE03DD"/>
    <w:rsid w:val="00BE231C"/>
    <w:rsid w:val="00BE600C"/>
    <w:rsid w:val="00BF09FD"/>
    <w:rsid w:val="00BF0A63"/>
    <w:rsid w:val="00BF2770"/>
    <w:rsid w:val="00BF54BD"/>
    <w:rsid w:val="00BF6098"/>
    <w:rsid w:val="00C00017"/>
    <w:rsid w:val="00C00C1A"/>
    <w:rsid w:val="00C00FEC"/>
    <w:rsid w:val="00C0155C"/>
    <w:rsid w:val="00C0267D"/>
    <w:rsid w:val="00C049A4"/>
    <w:rsid w:val="00C05A73"/>
    <w:rsid w:val="00C05BF8"/>
    <w:rsid w:val="00C07AE8"/>
    <w:rsid w:val="00C104ED"/>
    <w:rsid w:val="00C150CA"/>
    <w:rsid w:val="00C15DAF"/>
    <w:rsid w:val="00C165C6"/>
    <w:rsid w:val="00C216A9"/>
    <w:rsid w:val="00C220EC"/>
    <w:rsid w:val="00C228AC"/>
    <w:rsid w:val="00C240A3"/>
    <w:rsid w:val="00C24800"/>
    <w:rsid w:val="00C26A08"/>
    <w:rsid w:val="00C31764"/>
    <w:rsid w:val="00C3232C"/>
    <w:rsid w:val="00C32C2C"/>
    <w:rsid w:val="00C32D1A"/>
    <w:rsid w:val="00C36FE5"/>
    <w:rsid w:val="00C41AD4"/>
    <w:rsid w:val="00C43B33"/>
    <w:rsid w:val="00C45318"/>
    <w:rsid w:val="00C45759"/>
    <w:rsid w:val="00C46079"/>
    <w:rsid w:val="00C50051"/>
    <w:rsid w:val="00C5006F"/>
    <w:rsid w:val="00C517FC"/>
    <w:rsid w:val="00C52800"/>
    <w:rsid w:val="00C52CA7"/>
    <w:rsid w:val="00C53A7B"/>
    <w:rsid w:val="00C556B8"/>
    <w:rsid w:val="00C56636"/>
    <w:rsid w:val="00C57E7B"/>
    <w:rsid w:val="00C60A38"/>
    <w:rsid w:val="00C60EC9"/>
    <w:rsid w:val="00C6245F"/>
    <w:rsid w:val="00C640D7"/>
    <w:rsid w:val="00C67972"/>
    <w:rsid w:val="00C73102"/>
    <w:rsid w:val="00C7439A"/>
    <w:rsid w:val="00C756F0"/>
    <w:rsid w:val="00C76DA7"/>
    <w:rsid w:val="00C779C6"/>
    <w:rsid w:val="00C77C6A"/>
    <w:rsid w:val="00C801E7"/>
    <w:rsid w:val="00C80623"/>
    <w:rsid w:val="00C811C0"/>
    <w:rsid w:val="00C8155C"/>
    <w:rsid w:val="00C81934"/>
    <w:rsid w:val="00C8232F"/>
    <w:rsid w:val="00C82D9B"/>
    <w:rsid w:val="00C84DA9"/>
    <w:rsid w:val="00C87EA9"/>
    <w:rsid w:val="00C90B18"/>
    <w:rsid w:val="00C90F50"/>
    <w:rsid w:val="00C9171A"/>
    <w:rsid w:val="00C94D8A"/>
    <w:rsid w:val="00C965CE"/>
    <w:rsid w:val="00C9691C"/>
    <w:rsid w:val="00CA0F01"/>
    <w:rsid w:val="00CA1A12"/>
    <w:rsid w:val="00CA76F6"/>
    <w:rsid w:val="00CB0A23"/>
    <w:rsid w:val="00CB14DA"/>
    <w:rsid w:val="00CB1835"/>
    <w:rsid w:val="00CB2460"/>
    <w:rsid w:val="00CB6B07"/>
    <w:rsid w:val="00CB6B78"/>
    <w:rsid w:val="00CB7D2C"/>
    <w:rsid w:val="00CC0196"/>
    <w:rsid w:val="00CC1EF8"/>
    <w:rsid w:val="00CC5625"/>
    <w:rsid w:val="00CD18E5"/>
    <w:rsid w:val="00CD2EE4"/>
    <w:rsid w:val="00CD5164"/>
    <w:rsid w:val="00CD536A"/>
    <w:rsid w:val="00CD672E"/>
    <w:rsid w:val="00CE0443"/>
    <w:rsid w:val="00CE2B9A"/>
    <w:rsid w:val="00CE3616"/>
    <w:rsid w:val="00CE502F"/>
    <w:rsid w:val="00CE54DF"/>
    <w:rsid w:val="00CF0F09"/>
    <w:rsid w:val="00CF2617"/>
    <w:rsid w:val="00CF4F16"/>
    <w:rsid w:val="00CF60F0"/>
    <w:rsid w:val="00CF6B8F"/>
    <w:rsid w:val="00D00DDA"/>
    <w:rsid w:val="00D02CEF"/>
    <w:rsid w:val="00D02F7B"/>
    <w:rsid w:val="00D03188"/>
    <w:rsid w:val="00D05D92"/>
    <w:rsid w:val="00D06926"/>
    <w:rsid w:val="00D07E48"/>
    <w:rsid w:val="00D10880"/>
    <w:rsid w:val="00D152A7"/>
    <w:rsid w:val="00D15525"/>
    <w:rsid w:val="00D17216"/>
    <w:rsid w:val="00D17F3B"/>
    <w:rsid w:val="00D25496"/>
    <w:rsid w:val="00D26232"/>
    <w:rsid w:val="00D26460"/>
    <w:rsid w:val="00D30EB9"/>
    <w:rsid w:val="00D345E3"/>
    <w:rsid w:val="00D3527C"/>
    <w:rsid w:val="00D450E2"/>
    <w:rsid w:val="00D461C7"/>
    <w:rsid w:val="00D470ED"/>
    <w:rsid w:val="00D517A1"/>
    <w:rsid w:val="00D53C15"/>
    <w:rsid w:val="00D548AD"/>
    <w:rsid w:val="00D54CD2"/>
    <w:rsid w:val="00D56754"/>
    <w:rsid w:val="00D6234D"/>
    <w:rsid w:val="00D6458C"/>
    <w:rsid w:val="00D65FDE"/>
    <w:rsid w:val="00D66A76"/>
    <w:rsid w:val="00D66CB0"/>
    <w:rsid w:val="00D71516"/>
    <w:rsid w:val="00D7400E"/>
    <w:rsid w:val="00D82998"/>
    <w:rsid w:val="00D84995"/>
    <w:rsid w:val="00D84FD6"/>
    <w:rsid w:val="00D859FE"/>
    <w:rsid w:val="00D864FD"/>
    <w:rsid w:val="00D878E8"/>
    <w:rsid w:val="00D879DF"/>
    <w:rsid w:val="00D91EF2"/>
    <w:rsid w:val="00D93127"/>
    <w:rsid w:val="00D93EBD"/>
    <w:rsid w:val="00D96E62"/>
    <w:rsid w:val="00D97F30"/>
    <w:rsid w:val="00DA0892"/>
    <w:rsid w:val="00DA19A6"/>
    <w:rsid w:val="00DA1C6C"/>
    <w:rsid w:val="00DA3205"/>
    <w:rsid w:val="00DA380C"/>
    <w:rsid w:val="00DA66C7"/>
    <w:rsid w:val="00DA6BD2"/>
    <w:rsid w:val="00DB02DB"/>
    <w:rsid w:val="00DC13E7"/>
    <w:rsid w:val="00DC228F"/>
    <w:rsid w:val="00DC51AC"/>
    <w:rsid w:val="00DC6B31"/>
    <w:rsid w:val="00DC7226"/>
    <w:rsid w:val="00DD1C78"/>
    <w:rsid w:val="00DD392A"/>
    <w:rsid w:val="00DD3F4F"/>
    <w:rsid w:val="00DD7D96"/>
    <w:rsid w:val="00DD7FBB"/>
    <w:rsid w:val="00DE00A7"/>
    <w:rsid w:val="00DE1845"/>
    <w:rsid w:val="00DE33D6"/>
    <w:rsid w:val="00DE5064"/>
    <w:rsid w:val="00DE5354"/>
    <w:rsid w:val="00DF0056"/>
    <w:rsid w:val="00DF2697"/>
    <w:rsid w:val="00DF33F1"/>
    <w:rsid w:val="00DF5155"/>
    <w:rsid w:val="00DF5E03"/>
    <w:rsid w:val="00DF5F14"/>
    <w:rsid w:val="00DF6228"/>
    <w:rsid w:val="00E002DB"/>
    <w:rsid w:val="00E01CE9"/>
    <w:rsid w:val="00E02106"/>
    <w:rsid w:val="00E05AE5"/>
    <w:rsid w:val="00E11C95"/>
    <w:rsid w:val="00E17329"/>
    <w:rsid w:val="00E17341"/>
    <w:rsid w:val="00E178D6"/>
    <w:rsid w:val="00E221D2"/>
    <w:rsid w:val="00E24A79"/>
    <w:rsid w:val="00E24B2B"/>
    <w:rsid w:val="00E26B12"/>
    <w:rsid w:val="00E27986"/>
    <w:rsid w:val="00E3072D"/>
    <w:rsid w:val="00E37B34"/>
    <w:rsid w:val="00E42094"/>
    <w:rsid w:val="00E434F9"/>
    <w:rsid w:val="00E44246"/>
    <w:rsid w:val="00E448B5"/>
    <w:rsid w:val="00E44BDB"/>
    <w:rsid w:val="00E46046"/>
    <w:rsid w:val="00E50C39"/>
    <w:rsid w:val="00E518F2"/>
    <w:rsid w:val="00E5288C"/>
    <w:rsid w:val="00E53A21"/>
    <w:rsid w:val="00E54CDE"/>
    <w:rsid w:val="00E55837"/>
    <w:rsid w:val="00E56A32"/>
    <w:rsid w:val="00E6057C"/>
    <w:rsid w:val="00E6069C"/>
    <w:rsid w:val="00E60720"/>
    <w:rsid w:val="00E62BDC"/>
    <w:rsid w:val="00E63CBC"/>
    <w:rsid w:val="00E66837"/>
    <w:rsid w:val="00E6713C"/>
    <w:rsid w:val="00E70B37"/>
    <w:rsid w:val="00E72066"/>
    <w:rsid w:val="00E72703"/>
    <w:rsid w:val="00E74C58"/>
    <w:rsid w:val="00E76CBA"/>
    <w:rsid w:val="00E77461"/>
    <w:rsid w:val="00E80830"/>
    <w:rsid w:val="00E81EAF"/>
    <w:rsid w:val="00E848EB"/>
    <w:rsid w:val="00E87477"/>
    <w:rsid w:val="00E943C5"/>
    <w:rsid w:val="00EA0DA5"/>
    <w:rsid w:val="00EA1028"/>
    <w:rsid w:val="00EA3B88"/>
    <w:rsid w:val="00EA5785"/>
    <w:rsid w:val="00EA7938"/>
    <w:rsid w:val="00EB0122"/>
    <w:rsid w:val="00EB0471"/>
    <w:rsid w:val="00EB053C"/>
    <w:rsid w:val="00EB489D"/>
    <w:rsid w:val="00EB66AF"/>
    <w:rsid w:val="00EB7918"/>
    <w:rsid w:val="00EC1A0A"/>
    <w:rsid w:val="00EC1FC3"/>
    <w:rsid w:val="00EC2534"/>
    <w:rsid w:val="00EC275C"/>
    <w:rsid w:val="00EC3147"/>
    <w:rsid w:val="00EC3B51"/>
    <w:rsid w:val="00EC6FFD"/>
    <w:rsid w:val="00ED000E"/>
    <w:rsid w:val="00ED022C"/>
    <w:rsid w:val="00ED10AD"/>
    <w:rsid w:val="00ED18D1"/>
    <w:rsid w:val="00ED221F"/>
    <w:rsid w:val="00ED3BD1"/>
    <w:rsid w:val="00ED5213"/>
    <w:rsid w:val="00ED5553"/>
    <w:rsid w:val="00ED60F8"/>
    <w:rsid w:val="00ED7043"/>
    <w:rsid w:val="00ED790D"/>
    <w:rsid w:val="00ED795B"/>
    <w:rsid w:val="00EE5ACD"/>
    <w:rsid w:val="00EF251D"/>
    <w:rsid w:val="00EF4FCB"/>
    <w:rsid w:val="00F022FB"/>
    <w:rsid w:val="00F045BD"/>
    <w:rsid w:val="00F06622"/>
    <w:rsid w:val="00F14083"/>
    <w:rsid w:val="00F20750"/>
    <w:rsid w:val="00F226E0"/>
    <w:rsid w:val="00F227D7"/>
    <w:rsid w:val="00F22EDE"/>
    <w:rsid w:val="00F22F83"/>
    <w:rsid w:val="00F25DA7"/>
    <w:rsid w:val="00F30275"/>
    <w:rsid w:val="00F309D9"/>
    <w:rsid w:val="00F311FC"/>
    <w:rsid w:val="00F319F1"/>
    <w:rsid w:val="00F31B81"/>
    <w:rsid w:val="00F326AB"/>
    <w:rsid w:val="00F3692B"/>
    <w:rsid w:val="00F37B1F"/>
    <w:rsid w:val="00F41EC8"/>
    <w:rsid w:val="00F42045"/>
    <w:rsid w:val="00F42DBE"/>
    <w:rsid w:val="00F44265"/>
    <w:rsid w:val="00F44824"/>
    <w:rsid w:val="00F469CF"/>
    <w:rsid w:val="00F530DF"/>
    <w:rsid w:val="00F57DD4"/>
    <w:rsid w:val="00F60F02"/>
    <w:rsid w:val="00F6244B"/>
    <w:rsid w:val="00F63927"/>
    <w:rsid w:val="00F63E29"/>
    <w:rsid w:val="00F65298"/>
    <w:rsid w:val="00F702AC"/>
    <w:rsid w:val="00F70A03"/>
    <w:rsid w:val="00F70D69"/>
    <w:rsid w:val="00F722F3"/>
    <w:rsid w:val="00F740BB"/>
    <w:rsid w:val="00F81292"/>
    <w:rsid w:val="00F81E38"/>
    <w:rsid w:val="00F8250D"/>
    <w:rsid w:val="00F84336"/>
    <w:rsid w:val="00F84680"/>
    <w:rsid w:val="00F86C44"/>
    <w:rsid w:val="00F92EDF"/>
    <w:rsid w:val="00F94D20"/>
    <w:rsid w:val="00F950BC"/>
    <w:rsid w:val="00F968D4"/>
    <w:rsid w:val="00F96A07"/>
    <w:rsid w:val="00F97640"/>
    <w:rsid w:val="00FA09BB"/>
    <w:rsid w:val="00FA1EF9"/>
    <w:rsid w:val="00FA5002"/>
    <w:rsid w:val="00FA51E4"/>
    <w:rsid w:val="00FB0405"/>
    <w:rsid w:val="00FB06AF"/>
    <w:rsid w:val="00FB34FA"/>
    <w:rsid w:val="00FB3C1E"/>
    <w:rsid w:val="00FB4434"/>
    <w:rsid w:val="00FB5F46"/>
    <w:rsid w:val="00FC0D58"/>
    <w:rsid w:val="00FC170B"/>
    <w:rsid w:val="00FD065A"/>
    <w:rsid w:val="00FD1A2B"/>
    <w:rsid w:val="00FD428E"/>
    <w:rsid w:val="00FE151B"/>
    <w:rsid w:val="00FF3BC1"/>
    <w:rsid w:val="00FF544A"/>
    <w:rsid w:val="00FF7A2A"/>
    <w:rsid w:val="0953EC2E"/>
    <w:rsid w:val="1FD712E6"/>
    <w:rsid w:val="25589503"/>
    <w:rsid w:val="51E05D4C"/>
    <w:rsid w:val="560FCD6A"/>
    <w:rsid w:val="62A02B67"/>
    <w:rsid w:val="6995E606"/>
    <w:rsid w:val="6ED058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4FB5F"/>
  <w15:chartTrackingRefBased/>
  <w15:docId w15:val="{7D06A663-044A-4D38-ADF5-2D06FCB1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A10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unhideWhenUsed/>
    <w:qFormat/>
    <w:rsid w:val="00E62BDC"/>
    <w:pPr>
      <w:spacing w:before="100" w:beforeAutospacing="1" w:after="100" w:afterAutospacing="1"/>
      <w:jc w:val="left"/>
      <w:outlineLvl w:val="1"/>
    </w:pPr>
    <w:rPr>
      <w:rFonts w:eastAsia="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0F31D6"/>
  </w:style>
  <w:style w:type="character" w:styleId="nfase">
    <w:name w:val="Emphasis"/>
    <w:basedOn w:val="Fontepargpadro"/>
    <w:uiPriority w:val="20"/>
    <w:qFormat/>
    <w:rsid w:val="000F31D6"/>
    <w:rPr>
      <w:i/>
      <w:iCs/>
    </w:rPr>
  </w:style>
  <w:style w:type="character" w:styleId="Hyperlink">
    <w:name w:val="Hyperlink"/>
    <w:basedOn w:val="Fontepargpadro"/>
    <w:uiPriority w:val="99"/>
    <w:unhideWhenUsed/>
    <w:rsid w:val="00317A94"/>
    <w:rPr>
      <w:color w:val="0000FF"/>
      <w:u w:val="single"/>
    </w:rPr>
  </w:style>
  <w:style w:type="character" w:styleId="Refdecomentrio">
    <w:name w:val="annotation reference"/>
    <w:basedOn w:val="Fontepargpadro"/>
    <w:uiPriority w:val="99"/>
    <w:semiHidden/>
    <w:unhideWhenUsed/>
    <w:rsid w:val="0064799C"/>
    <w:rPr>
      <w:sz w:val="16"/>
      <w:szCs w:val="16"/>
    </w:rPr>
  </w:style>
  <w:style w:type="paragraph" w:styleId="Textodecomentrio">
    <w:name w:val="annotation text"/>
    <w:basedOn w:val="Normal"/>
    <w:link w:val="TextodecomentrioChar"/>
    <w:uiPriority w:val="99"/>
    <w:unhideWhenUsed/>
    <w:qFormat/>
    <w:rsid w:val="0064799C"/>
    <w:rPr>
      <w:sz w:val="20"/>
      <w:szCs w:val="20"/>
    </w:rPr>
  </w:style>
  <w:style w:type="character" w:customStyle="1" w:styleId="TextodecomentrioChar">
    <w:name w:val="Texto de comentário Char"/>
    <w:basedOn w:val="Fontepargpadro"/>
    <w:link w:val="Textodecomentrio"/>
    <w:uiPriority w:val="99"/>
    <w:qFormat/>
    <w:rsid w:val="0064799C"/>
    <w:rPr>
      <w:sz w:val="20"/>
      <w:szCs w:val="20"/>
    </w:rPr>
  </w:style>
  <w:style w:type="paragraph" w:styleId="Assuntodocomentrio">
    <w:name w:val="annotation subject"/>
    <w:basedOn w:val="Textodecomentrio"/>
    <w:next w:val="Textodecomentrio"/>
    <w:link w:val="AssuntodocomentrioChar"/>
    <w:uiPriority w:val="99"/>
    <w:semiHidden/>
    <w:unhideWhenUsed/>
    <w:rsid w:val="0064799C"/>
    <w:rPr>
      <w:b/>
      <w:bCs/>
    </w:rPr>
  </w:style>
  <w:style w:type="character" w:customStyle="1" w:styleId="AssuntodocomentrioChar">
    <w:name w:val="Assunto do comentário Char"/>
    <w:basedOn w:val="TextodecomentrioChar"/>
    <w:link w:val="Assuntodocomentrio"/>
    <w:uiPriority w:val="99"/>
    <w:semiHidden/>
    <w:rsid w:val="0064799C"/>
    <w:rPr>
      <w:b/>
      <w:bCs/>
      <w:sz w:val="20"/>
      <w:szCs w:val="20"/>
    </w:rPr>
  </w:style>
  <w:style w:type="paragraph" w:styleId="Textodebalo">
    <w:name w:val="Balloon Text"/>
    <w:basedOn w:val="Normal"/>
    <w:link w:val="TextodebaloChar"/>
    <w:uiPriority w:val="99"/>
    <w:semiHidden/>
    <w:unhideWhenUsed/>
    <w:rsid w:val="0064799C"/>
    <w:rPr>
      <w:rFonts w:ascii="Segoe UI" w:hAnsi="Segoe UI" w:cs="Segoe UI"/>
      <w:sz w:val="18"/>
      <w:szCs w:val="18"/>
    </w:rPr>
  </w:style>
  <w:style w:type="character" w:customStyle="1" w:styleId="TextodebaloChar">
    <w:name w:val="Texto de balão Char"/>
    <w:basedOn w:val="Fontepargpadro"/>
    <w:link w:val="Textodebalo"/>
    <w:uiPriority w:val="99"/>
    <w:semiHidden/>
    <w:rsid w:val="0064799C"/>
    <w:rPr>
      <w:rFonts w:ascii="Segoe UI" w:hAnsi="Segoe UI" w:cs="Segoe UI"/>
      <w:sz w:val="18"/>
      <w:szCs w:val="18"/>
    </w:rPr>
  </w:style>
  <w:style w:type="paragraph" w:customStyle="1" w:styleId="Referncias">
    <w:name w:val="Referências"/>
    <w:basedOn w:val="Normal"/>
    <w:link w:val="RefernciasChar"/>
    <w:qFormat/>
    <w:rsid w:val="003E1985"/>
    <w:pPr>
      <w:spacing w:line="360" w:lineRule="auto"/>
    </w:pPr>
    <w:rPr>
      <w:rFonts w:ascii="Arial" w:eastAsia="Calibri" w:hAnsi="Arial" w:cs="Arial"/>
      <w:szCs w:val="24"/>
    </w:rPr>
  </w:style>
  <w:style w:type="character" w:customStyle="1" w:styleId="RefernciasChar">
    <w:name w:val="Referências Char"/>
    <w:link w:val="Referncias"/>
    <w:rsid w:val="003E1985"/>
    <w:rPr>
      <w:rFonts w:ascii="Arial" w:eastAsia="Calibri" w:hAnsi="Arial" w:cs="Arial"/>
      <w:szCs w:val="24"/>
    </w:rPr>
  </w:style>
  <w:style w:type="paragraph" w:customStyle="1" w:styleId="Default">
    <w:name w:val="Default"/>
    <w:rsid w:val="009A736C"/>
    <w:pPr>
      <w:autoSpaceDE w:val="0"/>
      <w:autoSpaceDN w:val="0"/>
      <w:adjustRightInd w:val="0"/>
      <w:jc w:val="left"/>
    </w:pPr>
    <w:rPr>
      <w:rFonts w:ascii="Helvetica Condensed" w:hAnsi="Helvetica Condensed" w:cs="Helvetica Condensed"/>
      <w:color w:val="000000"/>
      <w:szCs w:val="24"/>
    </w:rPr>
  </w:style>
  <w:style w:type="character" w:customStyle="1" w:styleId="Ttulo2Char">
    <w:name w:val="Título 2 Char"/>
    <w:basedOn w:val="Fontepargpadro"/>
    <w:link w:val="Ttulo2"/>
    <w:uiPriority w:val="9"/>
    <w:rsid w:val="00E62BDC"/>
    <w:rPr>
      <w:rFonts w:eastAsia="Times New Roman" w:cs="Times New Roman"/>
      <w:b/>
      <w:bCs/>
      <w:sz w:val="36"/>
      <w:szCs w:val="36"/>
      <w:lang w:eastAsia="pt-BR"/>
    </w:rPr>
  </w:style>
  <w:style w:type="paragraph" w:styleId="Textodenotaderodap">
    <w:name w:val="footnote text"/>
    <w:basedOn w:val="Normal"/>
    <w:link w:val="TextodenotaderodapChar"/>
    <w:uiPriority w:val="99"/>
    <w:unhideWhenUsed/>
    <w:qFormat/>
    <w:rsid w:val="00131CEC"/>
    <w:rPr>
      <w:sz w:val="20"/>
      <w:szCs w:val="20"/>
    </w:rPr>
  </w:style>
  <w:style w:type="character" w:customStyle="1" w:styleId="TextodenotaderodapChar">
    <w:name w:val="Texto de nota de rodapé Char"/>
    <w:basedOn w:val="Fontepargpadro"/>
    <w:link w:val="Textodenotaderodap"/>
    <w:uiPriority w:val="99"/>
    <w:rsid w:val="00131CEC"/>
    <w:rPr>
      <w:sz w:val="20"/>
      <w:szCs w:val="20"/>
    </w:rPr>
  </w:style>
  <w:style w:type="character" w:styleId="Refdenotaderodap">
    <w:name w:val="footnote reference"/>
    <w:basedOn w:val="Fontepargpadro"/>
    <w:uiPriority w:val="99"/>
    <w:unhideWhenUsed/>
    <w:qFormat/>
    <w:rsid w:val="00131CEC"/>
    <w:rPr>
      <w:vertAlign w:val="superscript"/>
    </w:rPr>
  </w:style>
  <w:style w:type="character" w:customStyle="1" w:styleId="d2edcug0">
    <w:name w:val="d2edcug0"/>
    <w:basedOn w:val="Fontepargpadro"/>
    <w:rsid w:val="008E32E4"/>
  </w:style>
  <w:style w:type="paragraph" w:styleId="Cabealho">
    <w:name w:val="header"/>
    <w:basedOn w:val="Normal"/>
    <w:link w:val="CabealhoChar"/>
    <w:uiPriority w:val="99"/>
    <w:unhideWhenUsed/>
    <w:rsid w:val="005A6138"/>
    <w:pPr>
      <w:tabs>
        <w:tab w:val="center" w:pos="4252"/>
        <w:tab w:val="right" w:pos="8504"/>
      </w:tabs>
    </w:pPr>
  </w:style>
  <w:style w:type="character" w:customStyle="1" w:styleId="CabealhoChar">
    <w:name w:val="Cabeçalho Char"/>
    <w:basedOn w:val="Fontepargpadro"/>
    <w:link w:val="Cabealho"/>
    <w:uiPriority w:val="99"/>
    <w:rsid w:val="005A6138"/>
  </w:style>
  <w:style w:type="paragraph" w:styleId="Rodap">
    <w:name w:val="footer"/>
    <w:basedOn w:val="Normal"/>
    <w:link w:val="RodapChar"/>
    <w:uiPriority w:val="99"/>
    <w:unhideWhenUsed/>
    <w:rsid w:val="005A6138"/>
    <w:pPr>
      <w:tabs>
        <w:tab w:val="center" w:pos="4252"/>
        <w:tab w:val="right" w:pos="8504"/>
      </w:tabs>
    </w:pPr>
  </w:style>
  <w:style w:type="character" w:customStyle="1" w:styleId="RodapChar">
    <w:name w:val="Rodapé Char"/>
    <w:basedOn w:val="Fontepargpadro"/>
    <w:link w:val="Rodap"/>
    <w:uiPriority w:val="99"/>
    <w:rsid w:val="005A6138"/>
  </w:style>
  <w:style w:type="character" w:customStyle="1" w:styleId="acopre">
    <w:name w:val="acopre"/>
    <w:basedOn w:val="Fontepargpadro"/>
    <w:rsid w:val="00A661E6"/>
  </w:style>
  <w:style w:type="character" w:styleId="MenoPendente">
    <w:name w:val="Unresolved Mention"/>
    <w:basedOn w:val="Fontepargpadro"/>
    <w:uiPriority w:val="99"/>
    <w:semiHidden/>
    <w:unhideWhenUsed/>
    <w:rsid w:val="009D1CB3"/>
    <w:rPr>
      <w:color w:val="605E5C"/>
      <w:shd w:val="clear" w:color="auto" w:fill="E1DFDD"/>
    </w:rPr>
  </w:style>
  <w:style w:type="paragraph" w:styleId="Pr-formataoHTML">
    <w:name w:val="HTML Preformatted"/>
    <w:basedOn w:val="Normal"/>
    <w:link w:val="Pr-formataoHTMLChar"/>
    <w:uiPriority w:val="99"/>
    <w:unhideWhenUsed/>
    <w:qFormat/>
    <w:rsid w:val="002B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B1469"/>
    <w:rPr>
      <w:rFonts w:ascii="Courier New" w:eastAsia="Times New Roman" w:hAnsi="Courier New" w:cs="Courier New"/>
      <w:sz w:val="20"/>
      <w:szCs w:val="20"/>
      <w:lang w:eastAsia="pt-BR"/>
    </w:rPr>
  </w:style>
  <w:style w:type="character" w:styleId="Forte">
    <w:name w:val="Strong"/>
    <w:basedOn w:val="Fontepargpadro"/>
    <w:uiPriority w:val="22"/>
    <w:qFormat/>
    <w:rsid w:val="00ED5553"/>
    <w:rPr>
      <w:b/>
      <w:bCs/>
    </w:rPr>
  </w:style>
  <w:style w:type="paragraph" w:customStyle="1" w:styleId="current">
    <w:name w:val="current"/>
    <w:basedOn w:val="Normal"/>
    <w:rsid w:val="002A7090"/>
    <w:pPr>
      <w:spacing w:before="100" w:beforeAutospacing="1" w:after="100" w:afterAutospacing="1"/>
      <w:jc w:val="left"/>
    </w:pPr>
    <w:rPr>
      <w:rFonts w:eastAsia="Times New Roman" w:cs="Times New Roman"/>
      <w:szCs w:val="24"/>
      <w:u w:color="000000"/>
      <w:lang w:eastAsia="pt-BR"/>
    </w:rPr>
  </w:style>
  <w:style w:type="paragraph" w:customStyle="1" w:styleId="Ttulosnonumerados">
    <w:name w:val="Títulos não numerados"/>
    <w:basedOn w:val="Normal"/>
    <w:qFormat/>
    <w:rsid w:val="00C60A38"/>
    <w:pPr>
      <w:jc w:val="center"/>
    </w:pPr>
    <w:rPr>
      <w:b/>
      <w:caps/>
    </w:rPr>
  </w:style>
  <w:style w:type="paragraph" w:customStyle="1" w:styleId="ABNTCorpodetexto">
    <w:name w:val="ABNT Corpo de texto"/>
    <w:basedOn w:val="Normal"/>
    <w:qFormat/>
    <w:rsid w:val="00C60A38"/>
    <w:pPr>
      <w:spacing w:line="360" w:lineRule="auto"/>
      <w:ind w:firstLine="709"/>
    </w:pPr>
  </w:style>
  <w:style w:type="paragraph" w:customStyle="1" w:styleId="ABNTAutores">
    <w:name w:val="ABNT Autores"/>
    <w:basedOn w:val="Normal"/>
    <w:qFormat/>
    <w:rsid w:val="00C60A38"/>
    <w:pPr>
      <w:jc w:val="center"/>
    </w:pPr>
  </w:style>
  <w:style w:type="paragraph" w:customStyle="1" w:styleId="ABNTReferncias">
    <w:name w:val="ABNT Referências"/>
    <w:basedOn w:val="Normal"/>
    <w:qFormat/>
    <w:rsid w:val="00C60A38"/>
    <w:pPr>
      <w:jc w:val="left"/>
    </w:pPr>
  </w:style>
  <w:style w:type="paragraph" w:customStyle="1" w:styleId="ABNTCabealho">
    <w:name w:val="ABNT Cabeçalho"/>
    <w:basedOn w:val="Normal"/>
    <w:qFormat/>
    <w:rsid w:val="00C60A38"/>
    <w:pPr>
      <w:spacing w:line="360" w:lineRule="auto"/>
      <w:jc w:val="center"/>
    </w:pPr>
    <w:rPr>
      <w:b/>
      <w:caps/>
    </w:rPr>
  </w:style>
  <w:style w:type="character" w:customStyle="1" w:styleId="ITLICO">
    <w:name w:val="ITÁLICO"/>
    <w:basedOn w:val="Fontepargpadro"/>
    <w:uiPriority w:val="1"/>
    <w:qFormat/>
    <w:rsid w:val="00951651"/>
    <w:rPr>
      <w:rFonts w:ascii="Times New Roman" w:hAnsi="Times New Roman" w:cs="Times New Roman"/>
      <w:i/>
      <w:sz w:val="24"/>
      <w:szCs w:val="24"/>
    </w:rPr>
  </w:style>
  <w:style w:type="character" w:customStyle="1" w:styleId="ITLICO-nota">
    <w:name w:val="ITÁLICO-nota"/>
    <w:basedOn w:val="Fontepargpadro"/>
    <w:uiPriority w:val="1"/>
    <w:qFormat/>
    <w:rsid w:val="00951651"/>
    <w:rPr>
      <w:i/>
      <w:iCs/>
      <w:lang w:val="es-419"/>
    </w:rPr>
  </w:style>
  <w:style w:type="character" w:customStyle="1" w:styleId="NEGRITO">
    <w:name w:val="NEGRITO"/>
    <w:basedOn w:val="Fontepargpadro"/>
    <w:uiPriority w:val="1"/>
    <w:qFormat/>
    <w:rsid w:val="000158EC"/>
    <w:rPr>
      <w:rFonts w:eastAsia="Malgun Gothic"/>
      <w:b/>
      <w:bCs/>
      <w:lang w:val="es-419"/>
    </w:rPr>
  </w:style>
  <w:style w:type="character" w:customStyle="1" w:styleId="Ttulo1Char">
    <w:name w:val="Título 1 Char"/>
    <w:basedOn w:val="Fontepargpadro"/>
    <w:link w:val="Ttulo1"/>
    <w:uiPriority w:val="9"/>
    <w:rsid w:val="00EA1028"/>
    <w:rPr>
      <w:rFonts w:asciiTheme="majorHAnsi" w:eastAsiaTheme="majorEastAsia" w:hAnsiTheme="majorHAnsi" w:cstheme="majorBidi"/>
      <w:color w:val="2E74B5" w:themeColor="accent1" w:themeShade="BF"/>
      <w:sz w:val="32"/>
      <w:szCs w:val="32"/>
    </w:rPr>
  </w:style>
  <w:style w:type="table" w:styleId="Tabelacomgrade">
    <w:name w:val="Table Grid"/>
    <w:basedOn w:val="Tabelanormal"/>
    <w:uiPriority w:val="39"/>
    <w:qFormat/>
    <w:rsid w:val="00761D2E"/>
    <w:pPr>
      <w:suppressAutoHyphens/>
      <w:spacing w:after="200" w:line="1" w:lineRule="atLeast"/>
      <w:ind w:leftChars="-1" w:left="-1" w:hangingChars="1" w:hanging="1"/>
      <w:jc w:val="left"/>
      <w:textDirection w:val="btLr"/>
      <w:textAlignment w:val="top"/>
      <w:outlineLvl w:val="0"/>
    </w:pPr>
    <w:rPr>
      <w:rFonts w:ascii="Calibri" w:eastAsia="Calibri" w:hAnsi="Calibri" w:cs="Calibri"/>
      <w:position w:val="-1"/>
      <w:sz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1D2E"/>
    <w:pPr>
      <w:pBdr>
        <w:top w:val="nil"/>
        <w:left w:val="nil"/>
        <w:bottom w:val="nil"/>
        <w:right w:val="nil"/>
        <w:between w:val="nil"/>
      </w:pBdr>
      <w:suppressAutoHyphens/>
      <w:spacing w:after="200" w:line="276" w:lineRule="auto"/>
      <w:ind w:leftChars="-1" w:left="720" w:hangingChars="1" w:hanging="1"/>
      <w:contextualSpacing/>
      <w:jc w:val="left"/>
      <w:textDirection w:val="btLr"/>
      <w:textAlignment w:val="top"/>
      <w:outlineLvl w:val="0"/>
    </w:pPr>
    <w:rPr>
      <w:rFonts w:ascii="Calibri" w:eastAsia="Calibri" w:hAnsi="Calibri" w:cs="Calibri"/>
      <w:color w:val="00000A"/>
      <w:position w:val="-1"/>
      <w:sz w:val="22"/>
      <w:lang w:eastAsia="pt-BR"/>
    </w:rPr>
  </w:style>
  <w:style w:type="character" w:customStyle="1" w:styleId="y2iqfc">
    <w:name w:val="y2iqfc"/>
    <w:basedOn w:val="Fontepargpadro"/>
    <w:rsid w:val="00761D2E"/>
  </w:style>
  <w:style w:type="table" w:styleId="SimplesTabela2">
    <w:name w:val="Plain Table 2"/>
    <w:basedOn w:val="Tabelanormal"/>
    <w:uiPriority w:val="42"/>
    <w:rsid w:val="00761D2E"/>
    <w:pPr>
      <w:ind w:hanging="1"/>
      <w:jc w:val="left"/>
    </w:pPr>
    <w:rPr>
      <w:rFonts w:ascii="Calibri" w:eastAsia="Calibri" w:hAnsi="Calibri" w:cs="Calibri"/>
      <w:sz w:val="22"/>
      <w:lang w:eastAsia="pt-B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kmvie">
    <w:name w:val="ykmvie"/>
    <w:basedOn w:val="Fontepargpadro"/>
    <w:rsid w:val="00761D2E"/>
  </w:style>
  <w:style w:type="character" w:customStyle="1" w:styleId="hgkelc">
    <w:name w:val="hgkelc"/>
    <w:basedOn w:val="Fontepargpadro"/>
    <w:rsid w:val="00761D2E"/>
  </w:style>
  <w:style w:type="character" w:customStyle="1" w:styleId="normaltextrun">
    <w:name w:val="normaltextrun"/>
    <w:basedOn w:val="Fontepargpadro"/>
    <w:rsid w:val="00C80623"/>
  </w:style>
  <w:style w:type="character" w:customStyle="1" w:styleId="eop">
    <w:name w:val="eop"/>
    <w:basedOn w:val="Fontepargpadro"/>
    <w:rsid w:val="00C80623"/>
  </w:style>
  <w:style w:type="paragraph" w:customStyle="1" w:styleId="Normal1">
    <w:name w:val="Normal1"/>
    <w:rsid w:val="008D707D"/>
    <w:pPr>
      <w:spacing w:after="200" w:line="276" w:lineRule="auto"/>
      <w:ind w:hanging="1"/>
      <w:jc w:val="left"/>
    </w:pPr>
    <w:rPr>
      <w:rFonts w:ascii="Calibri" w:eastAsia="Calibri" w:hAnsi="Calibri" w:cs="Calibri"/>
      <w:sz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0050">
      <w:bodyDiv w:val="1"/>
      <w:marLeft w:val="0"/>
      <w:marRight w:val="0"/>
      <w:marTop w:val="0"/>
      <w:marBottom w:val="0"/>
      <w:divBdr>
        <w:top w:val="none" w:sz="0" w:space="0" w:color="auto"/>
        <w:left w:val="none" w:sz="0" w:space="0" w:color="auto"/>
        <w:bottom w:val="none" w:sz="0" w:space="0" w:color="auto"/>
        <w:right w:val="none" w:sz="0" w:space="0" w:color="auto"/>
      </w:divBdr>
      <w:divsChild>
        <w:div w:id="972979370">
          <w:marLeft w:val="0"/>
          <w:marRight w:val="0"/>
          <w:marTop w:val="0"/>
          <w:marBottom w:val="0"/>
          <w:divBdr>
            <w:top w:val="none" w:sz="0" w:space="0" w:color="auto"/>
            <w:left w:val="none" w:sz="0" w:space="0" w:color="auto"/>
            <w:bottom w:val="none" w:sz="0" w:space="0" w:color="auto"/>
            <w:right w:val="none" w:sz="0" w:space="0" w:color="auto"/>
          </w:divBdr>
          <w:divsChild>
            <w:div w:id="1328746601">
              <w:marLeft w:val="0"/>
              <w:marRight w:val="0"/>
              <w:marTop w:val="0"/>
              <w:marBottom w:val="0"/>
              <w:divBdr>
                <w:top w:val="none" w:sz="0" w:space="0" w:color="auto"/>
                <w:left w:val="none" w:sz="0" w:space="0" w:color="auto"/>
                <w:bottom w:val="none" w:sz="0" w:space="0" w:color="auto"/>
                <w:right w:val="none" w:sz="0" w:space="0" w:color="auto"/>
              </w:divBdr>
            </w:div>
            <w:div w:id="381366113">
              <w:marLeft w:val="0"/>
              <w:marRight w:val="0"/>
              <w:marTop w:val="0"/>
              <w:marBottom w:val="0"/>
              <w:divBdr>
                <w:top w:val="none" w:sz="0" w:space="0" w:color="auto"/>
                <w:left w:val="none" w:sz="0" w:space="0" w:color="auto"/>
                <w:bottom w:val="none" w:sz="0" w:space="0" w:color="auto"/>
                <w:right w:val="none" w:sz="0" w:space="0" w:color="auto"/>
              </w:divBdr>
            </w:div>
          </w:divsChild>
        </w:div>
        <w:div w:id="1508983468">
          <w:marLeft w:val="0"/>
          <w:marRight w:val="0"/>
          <w:marTop w:val="0"/>
          <w:marBottom w:val="0"/>
          <w:divBdr>
            <w:top w:val="none" w:sz="0" w:space="0" w:color="auto"/>
            <w:left w:val="none" w:sz="0" w:space="0" w:color="auto"/>
            <w:bottom w:val="none" w:sz="0" w:space="0" w:color="auto"/>
            <w:right w:val="none" w:sz="0" w:space="0" w:color="auto"/>
          </w:divBdr>
          <w:divsChild>
            <w:div w:id="1080715150">
              <w:marLeft w:val="0"/>
              <w:marRight w:val="0"/>
              <w:marTop w:val="0"/>
              <w:marBottom w:val="0"/>
              <w:divBdr>
                <w:top w:val="none" w:sz="0" w:space="0" w:color="auto"/>
                <w:left w:val="none" w:sz="0" w:space="0" w:color="auto"/>
                <w:bottom w:val="none" w:sz="0" w:space="0" w:color="auto"/>
                <w:right w:val="none" w:sz="0" w:space="0" w:color="auto"/>
              </w:divBdr>
            </w:div>
          </w:divsChild>
        </w:div>
        <w:div w:id="228343109">
          <w:marLeft w:val="0"/>
          <w:marRight w:val="0"/>
          <w:marTop w:val="0"/>
          <w:marBottom w:val="0"/>
          <w:divBdr>
            <w:top w:val="none" w:sz="0" w:space="0" w:color="auto"/>
            <w:left w:val="none" w:sz="0" w:space="0" w:color="auto"/>
            <w:bottom w:val="none" w:sz="0" w:space="0" w:color="auto"/>
            <w:right w:val="none" w:sz="0" w:space="0" w:color="auto"/>
          </w:divBdr>
          <w:divsChild>
            <w:div w:id="1834837145">
              <w:marLeft w:val="0"/>
              <w:marRight w:val="0"/>
              <w:marTop w:val="0"/>
              <w:marBottom w:val="0"/>
              <w:divBdr>
                <w:top w:val="none" w:sz="0" w:space="0" w:color="auto"/>
                <w:left w:val="none" w:sz="0" w:space="0" w:color="auto"/>
                <w:bottom w:val="none" w:sz="0" w:space="0" w:color="auto"/>
                <w:right w:val="none" w:sz="0" w:space="0" w:color="auto"/>
              </w:divBdr>
            </w:div>
            <w:div w:id="1638756217">
              <w:marLeft w:val="0"/>
              <w:marRight w:val="0"/>
              <w:marTop w:val="0"/>
              <w:marBottom w:val="0"/>
              <w:divBdr>
                <w:top w:val="none" w:sz="0" w:space="0" w:color="auto"/>
                <w:left w:val="none" w:sz="0" w:space="0" w:color="auto"/>
                <w:bottom w:val="none" w:sz="0" w:space="0" w:color="auto"/>
                <w:right w:val="none" w:sz="0" w:space="0" w:color="auto"/>
              </w:divBdr>
            </w:div>
          </w:divsChild>
        </w:div>
        <w:div w:id="1714957551">
          <w:marLeft w:val="0"/>
          <w:marRight w:val="0"/>
          <w:marTop w:val="0"/>
          <w:marBottom w:val="0"/>
          <w:divBdr>
            <w:top w:val="none" w:sz="0" w:space="0" w:color="auto"/>
            <w:left w:val="none" w:sz="0" w:space="0" w:color="auto"/>
            <w:bottom w:val="none" w:sz="0" w:space="0" w:color="auto"/>
            <w:right w:val="none" w:sz="0" w:space="0" w:color="auto"/>
          </w:divBdr>
          <w:divsChild>
            <w:div w:id="609238578">
              <w:marLeft w:val="0"/>
              <w:marRight w:val="0"/>
              <w:marTop w:val="0"/>
              <w:marBottom w:val="0"/>
              <w:divBdr>
                <w:top w:val="none" w:sz="0" w:space="0" w:color="auto"/>
                <w:left w:val="none" w:sz="0" w:space="0" w:color="auto"/>
                <w:bottom w:val="none" w:sz="0" w:space="0" w:color="auto"/>
                <w:right w:val="none" w:sz="0" w:space="0" w:color="auto"/>
              </w:divBdr>
            </w:div>
            <w:div w:id="640354167">
              <w:marLeft w:val="0"/>
              <w:marRight w:val="0"/>
              <w:marTop w:val="0"/>
              <w:marBottom w:val="0"/>
              <w:divBdr>
                <w:top w:val="none" w:sz="0" w:space="0" w:color="auto"/>
                <w:left w:val="none" w:sz="0" w:space="0" w:color="auto"/>
                <w:bottom w:val="none" w:sz="0" w:space="0" w:color="auto"/>
                <w:right w:val="none" w:sz="0" w:space="0" w:color="auto"/>
              </w:divBdr>
            </w:div>
          </w:divsChild>
        </w:div>
        <w:div w:id="869956890">
          <w:marLeft w:val="0"/>
          <w:marRight w:val="0"/>
          <w:marTop w:val="0"/>
          <w:marBottom w:val="0"/>
          <w:divBdr>
            <w:top w:val="none" w:sz="0" w:space="0" w:color="auto"/>
            <w:left w:val="none" w:sz="0" w:space="0" w:color="auto"/>
            <w:bottom w:val="none" w:sz="0" w:space="0" w:color="auto"/>
            <w:right w:val="none" w:sz="0" w:space="0" w:color="auto"/>
          </w:divBdr>
          <w:divsChild>
            <w:div w:id="1508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0213">
      <w:bodyDiv w:val="1"/>
      <w:marLeft w:val="0"/>
      <w:marRight w:val="0"/>
      <w:marTop w:val="0"/>
      <w:marBottom w:val="0"/>
      <w:divBdr>
        <w:top w:val="none" w:sz="0" w:space="0" w:color="auto"/>
        <w:left w:val="none" w:sz="0" w:space="0" w:color="auto"/>
        <w:bottom w:val="none" w:sz="0" w:space="0" w:color="auto"/>
        <w:right w:val="none" w:sz="0" w:space="0" w:color="auto"/>
      </w:divBdr>
    </w:div>
    <w:div w:id="264390533">
      <w:bodyDiv w:val="1"/>
      <w:marLeft w:val="0"/>
      <w:marRight w:val="0"/>
      <w:marTop w:val="0"/>
      <w:marBottom w:val="0"/>
      <w:divBdr>
        <w:top w:val="none" w:sz="0" w:space="0" w:color="auto"/>
        <w:left w:val="none" w:sz="0" w:space="0" w:color="auto"/>
        <w:bottom w:val="none" w:sz="0" w:space="0" w:color="auto"/>
        <w:right w:val="none" w:sz="0" w:space="0" w:color="auto"/>
      </w:divBdr>
      <w:divsChild>
        <w:div w:id="671220533">
          <w:marLeft w:val="0"/>
          <w:marRight w:val="0"/>
          <w:marTop w:val="0"/>
          <w:marBottom w:val="0"/>
          <w:divBdr>
            <w:top w:val="none" w:sz="0" w:space="0" w:color="auto"/>
            <w:left w:val="none" w:sz="0" w:space="0" w:color="auto"/>
            <w:bottom w:val="none" w:sz="0" w:space="0" w:color="auto"/>
            <w:right w:val="none" w:sz="0" w:space="0" w:color="auto"/>
          </w:divBdr>
        </w:div>
      </w:divsChild>
    </w:div>
    <w:div w:id="279264276">
      <w:bodyDiv w:val="1"/>
      <w:marLeft w:val="0"/>
      <w:marRight w:val="0"/>
      <w:marTop w:val="0"/>
      <w:marBottom w:val="0"/>
      <w:divBdr>
        <w:top w:val="none" w:sz="0" w:space="0" w:color="auto"/>
        <w:left w:val="none" w:sz="0" w:space="0" w:color="auto"/>
        <w:bottom w:val="none" w:sz="0" w:space="0" w:color="auto"/>
        <w:right w:val="none" w:sz="0" w:space="0" w:color="auto"/>
      </w:divBdr>
      <w:divsChild>
        <w:div w:id="1295333964">
          <w:marLeft w:val="0"/>
          <w:marRight w:val="0"/>
          <w:marTop w:val="0"/>
          <w:marBottom w:val="0"/>
          <w:divBdr>
            <w:top w:val="none" w:sz="0" w:space="0" w:color="auto"/>
            <w:left w:val="none" w:sz="0" w:space="0" w:color="auto"/>
            <w:bottom w:val="none" w:sz="0" w:space="0" w:color="auto"/>
            <w:right w:val="none" w:sz="0" w:space="0" w:color="auto"/>
          </w:divBdr>
        </w:div>
        <w:div w:id="296687676">
          <w:marLeft w:val="0"/>
          <w:marRight w:val="0"/>
          <w:marTop w:val="0"/>
          <w:marBottom w:val="0"/>
          <w:divBdr>
            <w:top w:val="none" w:sz="0" w:space="0" w:color="auto"/>
            <w:left w:val="none" w:sz="0" w:space="0" w:color="auto"/>
            <w:bottom w:val="none" w:sz="0" w:space="0" w:color="auto"/>
            <w:right w:val="none" w:sz="0" w:space="0" w:color="auto"/>
          </w:divBdr>
        </w:div>
        <w:div w:id="960501456">
          <w:marLeft w:val="0"/>
          <w:marRight w:val="0"/>
          <w:marTop w:val="0"/>
          <w:marBottom w:val="0"/>
          <w:divBdr>
            <w:top w:val="none" w:sz="0" w:space="0" w:color="auto"/>
            <w:left w:val="none" w:sz="0" w:space="0" w:color="auto"/>
            <w:bottom w:val="none" w:sz="0" w:space="0" w:color="auto"/>
            <w:right w:val="none" w:sz="0" w:space="0" w:color="auto"/>
          </w:divBdr>
        </w:div>
        <w:div w:id="1127311211">
          <w:marLeft w:val="0"/>
          <w:marRight w:val="0"/>
          <w:marTop w:val="0"/>
          <w:marBottom w:val="0"/>
          <w:divBdr>
            <w:top w:val="none" w:sz="0" w:space="0" w:color="auto"/>
            <w:left w:val="none" w:sz="0" w:space="0" w:color="auto"/>
            <w:bottom w:val="none" w:sz="0" w:space="0" w:color="auto"/>
            <w:right w:val="none" w:sz="0" w:space="0" w:color="auto"/>
          </w:divBdr>
        </w:div>
      </w:divsChild>
    </w:div>
    <w:div w:id="492112079">
      <w:bodyDiv w:val="1"/>
      <w:marLeft w:val="0"/>
      <w:marRight w:val="0"/>
      <w:marTop w:val="0"/>
      <w:marBottom w:val="0"/>
      <w:divBdr>
        <w:top w:val="none" w:sz="0" w:space="0" w:color="auto"/>
        <w:left w:val="none" w:sz="0" w:space="0" w:color="auto"/>
        <w:bottom w:val="none" w:sz="0" w:space="0" w:color="auto"/>
        <w:right w:val="none" w:sz="0" w:space="0" w:color="auto"/>
      </w:divBdr>
    </w:div>
    <w:div w:id="694572683">
      <w:bodyDiv w:val="1"/>
      <w:marLeft w:val="0"/>
      <w:marRight w:val="0"/>
      <w:marTop w:val="0"/>
      <w:marBottom w:val="0"/>
      <w:divBdr>
        <w:top w:val="none" w:sz="0" w:space="0" w:color="auto"/>
        <w:left w:val="none" w:sz="0" w:space="0" w:color="auto"/>
        <w:bottom w:val="none" w:sz="0" w:space="0" w:color="auto"/>
        <w:right w:val="none" w:sz="0" w:space="0" w:color="auto"/>
      </w:divBdr>
    </w:div>
    <w:div w:id="716055084">
      <w:bodyDiv w:val="1"/>
      <w:marLeft w:val="0"/>
      <w:marRight w:val="0"/>
      <w:marTop w:val="0"/>
      <w:marBottom w:val="0"/>
      <w:divBdr>
        <w:top w:val="none" w:sz="0" w:space="0" w:color="auto"/>
        <w:left w:val="none" w:sz="0" w:space="0" w:color="auto"/>
        <w:bottom w:val="none" w:sz="0" w:space="0" w:color="auto"/>
        <w:right w:val="none" w:sz="0" w:space="0" w:color="auto"/>
      </w:divBdr>
    </w:div>
    <w:div w:id="721290241">
      <w:bodyDiv w:val="1"/>
      <w:marLeft w:val="0"/>
      <w:marRight w:val="0"/>
      <w:marTop w:val="0"/>
      <w:marBottom w:val="0"/>
      <w:divBdr>
        <w:top w:val="none" w:sz="0" w:space="0" w:color="auto"/>
        <w:left w:val="none" w:sz="0" w:space="0" w:color="auto"/>
        <w:bottom w:val="none" w:sz="0" w:space="0" w:color="auto"/>
        <w:right w:val="none" w:sz="0" w:space="0" w:color="auto"/>
      </w:divBdr>
      <w:divsChild>
        <w:div w:id="92172610">
          <w:marLeft w:val="0"/>
          <w:marRight w:val="0"/>
          <w:marTop w:val="0"/>
          <w:marBottom w:val="0"/>
          <w:divBdr>
            <w:top w:val="none" w:sz="0" w:space="0" w:color="auto"/>
            <w:left w:val="none" w:sz="0" w:space="0" w:color="auto"/>
            <w:bottom w:val="none" w:sz="0" w:space="0" w:color="auto"/>
            <w:right w:val="none" w:sz="0" w:space="0" w:color="auto"/>
          </w:divBdr>
        </w:div>
      </w:divsChild>
    </w:div>
    <w:div w:id="1592856409">
      <w:bodyDiv w:val="1"/>
      <w:marLeft w:val="0"/>
      <w:marRight w:val="0"/>
      <w:marTop w:val="0"/>
      <w:marBottom w:val="0"/>
      <w:divBdr>
        <w:top w:val="none" w:sz="0" w:space="0" w:color="auto"/>
        <w:left w:val="none" w:sz="0" w:space="0" w:color="auto"/>
        <w:bottom w:val="none" w:sz="0" w:space="0" w:color="auto"/>
        <w:right w:val="none" w:sz="0" w:space="0" w:color="auto"/>
      </w:divBdr>
    </w:div>
    <w:div w:id="1751268164">
      <w:bodyDiv w:val="1"/>
      <w:marLeft w:val="0"/>
      <w:marRight w:val="0"/>
      <w:marTop w:val="0"/>
      <w:marBottom w:val="0"/>
      <w:divBdr>
        <w:top w:val="none" w:sz="0" w:space="0" w:color="auto"/>
        <w:left w:val="none" w:sz="0" w:space="0" w:color="auto"/>
        <w:bottom w:val="none" w:sz="0" w:space="0" w:color="auto"/>
        <w:right w:val="none" w:sz="0" w:space="0" w:color="auto"/>
      </w:divBdr>
      <w:divsChild>
        <w:div w:id="1934508506">
          <w:marLeft w:val="0"/>
          <w:marRight w:val="0"/>
          <w:marTop w:val="0"/>
          <w:marBottom w:val="0"/>
          <w:divBdr>
            <w:top w:val="none" w:sz="0" w:space="0" w:color="auto"/>
            <w:left w:val="none" w:sz="0" w:space="0" w:color="auto"/>
            <w:bottom w:val="none" w:sz="0" w:space="0" w:color="auto"/>
            <w:right w:val="none" w:sz="0" w:space="0" w:color="auto"/>
          </w:divBdr>
          <w:divsChild>
            <w:div w:id="913205524">
              <w:marLeft w:val="0"/>
              <w:marRight w:val="0"/>
              <w:marTop w:val="0"/>
              <w:marBottom w:val="0"/>
              <w:divBdr>
                <w:top w:val="none" w:sz="0" w:space="0" w:color="auto"/>
                <w:left w:val="none" w:sz="0" w:space="0" w:color="auto"/>
                <w:bottom w:val="none" w:sz="0" w:space="0" w:color="auto"/>
                <w:right w:val="none" w:sz="0" w:space="0" w:color="auto"/>
              </w:divBdr>
            </w:div>
            <w:div w:id="1252812650">
              <w:marLeft w:val="0"/>
              <w:marRight w:val="0"/>
              <w:marTop w:val="0"/>
              <w:marBottom w:val="0"/>
              <w:divBdr>
                <w:top w:val="none" w:sz="0" w:space="0" w:color="auto"/>
                <w:left w:val="none" w:sz="0" w:space="0" w:color="auto"/>
                <w:bottom w:val="none" w:sz="0" w:space="0" w:color="auto"/>
                <w:right w:val="none" w:sz="0" w:space="0" w:color="auto"/>
              </w:divBdr>
            </w:div>
          </w:divsChild>
        </w:div>
        <w:div w:id="41364459">
          <w:marLeft w:val="0"/>
          <w:marRight w:val="0"/>
          <w:marTop w:val="0"/>
          <w:marBottom w:val="0"/>
          <w:divBdr>
            <w:top w:val="none" w:sz="0" w:space="0" w:color="auto"/>
            <w:left w:val="none" w:sz="0" w:space="0" w:color="auto"/>
            <w:bottom w:val="none" w:sz="0" w:space="0" w:color="auto"/>
            <w:right w:val="none" w:sz="0" w:space="0" w:color="auto"/>
          </w:divBdr>
          <w:divsChild>
            <w:div w:id="1513303563">
              <w:marLeft w:val="0"/>
              <w:marRight w:val="0"/>
              <w:marTop w:val="0"/>
              <w:marBottom w:val="0"/>
              <w:divBdr>
                <w:top w:val="none" w:sz="0" w:space="0" w:color="auto"/>
                <w:left w:val="none" w:sz="0" w:space="0" w:color="auto"/>
                <w:bottom w:val="none" w:sz="0" w:space="0" w:color="auto"/>
                <w:right w:val="none" w:sz="0" w:space="0" w:color="auto"/>
              </w:divBdr>
            </w:div>
          </w:divsChild>
        </w:div>
        <w:div w:id="567347633">
          <w:marLeft w:val="0"/>
          <w:marRight w:val="0"/>
          <w:marTop w:val="0"/>
          <w:marBottom w:val="0"/>
          <w:divBdr>
            <w:top w:val="none" w:sz="0" w:space="0" w:color="auto"/>
            <w:left w:val="none" w:sz="0" w:space="0" w:color="auto"/>
            <w:bottom w:val="none" w:sz="0" w:space="0" w:color="auto"/>
            <w:right w:val="none" w:sz="0" w:space="0" w:color="auto"/>
          </w:divBdr>
          <w:divsChild>
            <w:div w:id="2034723627">
              <w:marLeft w:val="0"/>
              <w:marRight w:val="0"/>
              <w:marTop w:val="0"/>
              <w:marBottom w:val="0"/>
              <w:divBdr>
                <w:top w:val="none" w:sz="0" w:space="0" w:color="auto"/>
                <w:left w:val="none" w:sz="0" w:space="0" w:color="auto"/>
                <w:bottom w:val="none" w:sz="0" w:space="0" w:color="auto"/>
                <w:right w:val="none" w:sz="0" w:space="0" w:color="auto"/>
              </w:divBdr>
            </w:div>
            <w:div w:id="133260042">
              <w:marLeft w:val="0"/>
              <w:marRight w:val="0"/>
              <w:marTop w:val="0"/>
              <w:marBottom w:val="0"/>
              <w:divBdr>
                <w:top w:val="none" w:sz="0" w:space="0" w:color="auto"/>
                <w:left w:val="none" w:sz="0" w:space="0" w:color="auto"/>
                <w:bottom w:val="none" w:sz="0" w:space="0" w:color="auto"/>
                <w:right w:val="none" w:sz="0" w:space="0" w:color="auto"/>
              </w:divBdr>
            </w:div>
          </w:divsChild>
        </w:div>
        <w:div w:id="1560942286">
          <w:marLeft w:val="0"/>
          <w:marRight w:val="0"/>
          <w:marTop w:val="0"/>
          <w:marBottom w:val="0"/>
          <w:divBdr>
            <w:top w:val="none" w:sz="0" w:space="0" w:color="auto"/>
            <w:left w:val="none" w:sz="0" w:space="0" w:color="auto"/>
            <w:bottom w:val="none" w:sz="0" w:space="0" w:color="auto"/>
            <w:right w:val="none" w:sz="0" w:space="0" w:color="auto"/>
          </w:divBdr>
          <w:divsChild>
            <w:div w:id="1202552451">
              <w:marLeft w:val="0"/>
              <w:marRight w:val="0"/>
              <w:marTop w:val="0"/>
              <w:marBottom w:val="0"/>
              <w:divBdr>
                <w:top w:val="none" w:sz="0" w:space="0" w:color="auto"/>
                <w:left w:val="none" w:sz="0" w:space="0" w:color="auto"/>
                <w:bottom w:val="none" w:sz="0" w:space="0" w:color="auto"/>
                <w:right w:val="none" w:sz="0" w:space="0" w:color="auto"/>
              </w:divBdr>
            </w:div>
            <w:div w:id="55200926">
              <w:marLeft w:val="0"/>
              <w:marRight w:val="0"/>
              <w:marTop w:val="0"/>
              <w:marBottom w:val="0"/>
              <w:divBdr>
                <w:top w:val="none" w:sz="0" w:space="0" w:color="auto"/>
                <w:left w:val="none" w:sz="0" w:space="0" w:color="auto"/>
                <w:bottom w:val="none" w:sz="0" w:space="0" w:color="auto"/>
                <w:right w:val="none" w:sz="0" w:space="0" w:color="auto"/>
              </w:divBdr>
            </w:div>
          </w:divsChild>
        </w:div>
        <w:div w:id="1054768520">
          <w:marLeft w:val="0"/>
          <w:marRight w:val="0"/>
          <w:marTop w:val="0"/>
          <w:marBottom w:val="0"/>
          <w:divBdr>
            <w:top w:val="none" w:sz="0" w:space="0" w:color="auto"/>
            <w:left w:val="none" w:sz="0" w:space="0" w:color="auto"/>
            <w:bottom w:val="none" w:sz="0" w:space="0" w:color="auto"/>
            <w:right w:val="none" w:sz="0" w:space="0" w:color="auto"/>
          </w:divBdr>
          <w:divsChild>
            <w:div w:id="15228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098">
      <w:bodyDiv w:val="1"/>
      <w:marLeft w:val="0"/>
      <w:marRight w:val="0"/>
      <w:marTop w:val="0"/>
      <w:marBottom w:val="0"/>
      <w:divBdr>
        <w:top w:val="none" w:sz="0" w:space="0" w:color="auto"/>
        <w:left w:val="none" w:sz="0" w:space="0" w:color="auto"/>
        <w:bottom w:val="none" w:sz="0" w:space="0" w:color="auto"/>
        <w:right w:val="none" w:sz="0" w:space="0" w:color="auto"/>
      </w:divBdr>
      <w:divsChild>
        <w:div w:id="1994138502">
          <w:blockQuote w:val="1"/>
          <w:marLeft w:val="450"/>
          <w:marRight w:val="450"/>
          <w:marTop w:val="450"/>
          <w:marBottom w:val="450"/>
          <w:divBdr>
            <w:top w:val="none" w:sz="0" w:space="0" w:color="auto"/>
            <w:left w:val="single" w:sz="36" w:space="14" w:color="C8CCD1"/>
            <w:bottom w:val="none" w:sz="0" w:space="0" w:color="auto"/>
            <w:right w:val="none" w:sz="0" w:space="0" w:color="auto"/>
          </w:divBdr>
          <w:divsChild>
            <w:div w:id="51585760">
              <w:marLeft w:val="0"/>
              <w:marRight w:val="0"/>
              <w:marTop w:val="150"/>
              <w:marBottom w:val="0"/>
              <w:divBdr>
                <w:top w:val="none" w:sz="0" w:space="0" w:color="auto"/>
                <w:left w:val="none" w:sz="0" w:space="0" w:color="auto"/>
                <w:bottom w:val="none" w:sz="0" w:space="0" w:color="auto"/>
                <w:right w:val="none" w:sz="0" w:space="0" w:color="auto"/>
              </w:divBdr>
            </w:div>
            <w:div w:id="9128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2054">
      <w:bodyDiv w:val="1"/>
      <w:marLeft w:val="0"/>
      <w:marRight w:val="0"/>
      <w:marTop w:val="0"/>
      <w:marBottom w:val="0"/>
      <w:divBdr>
        <w:top w:val="none" w:sz="0" w:space="0" w:color="auto"/>
        <w:left w:val="none" w:sz="0" w:space="0" w:color="auto"/>
        <w:bottom w:val="none" w:sz="0" w:space="0" w:color="auto"/>
        <w:right w:val="none" w:sz="0" w:space="0" w:color="auto"/>
      </w:divBdr>
    </w:div>
    <w:div w:id="1927301507">
      <w:bodyDiv w:val="1"/>
      <w:marLeft w:val="0"/>
      <w:marRight w:val="0"/>
      <w:marTop w:val="0"/>
      <w:marBottom w:val="0"/>
      <w:divBdr>
        <w:top w:val="none" w:sz="0" w:space="0" w:color="auto"/>
        <w:left w:val="none" w:sz="0" w:space="0" w:color="auto"/>
        <w:bottom w:val="none" w:sz="0" w:space="0" w:color="auto"/>
        <w:right w:val="none" w:sz="0" w:space="0" w:color="auto"/>
      </w:divBdr>
      <w:divsChild>
        <w:div w:id="1162962574">
          <w:marLeft w:val="0"/>
          <w:marRight w:val="0"/>
          <w:marTop w:val="0"/>
          <w:marBottom w:val="0"/>
          <w:divBdr>
            <w:top w:val="none" w:sz="0" w:space="0" w:color="auto"/>
            <w:left w:val="none" w:sz="0" w:space="0" w:color="auto"/>
            <w:bottom w:val="none" w:sz="0" w:space="0" w:color="auto"/>
            <w:right w:val="none" w:sz="0" w:space="0" w:color="auto"/>
          </w:divBdr>
        </w:div>
      </w:divsChild>
    </w:div>
    <w:div w:id="2065173495">
      <w:bodyDiv w:val="1"/>
      <w:marLeft w:val="0"/>
      <w:marRight w:val="0"/>
      <w:marTop w:val="0"/>
      <w:marBottom w:val="0"/>
      <w:divBdr>
        <w:top w:val="none" w:sz="0" w:space="0" w:color="auto"/>
        <w:left w:val="none" w:sz="0" w:space="0" w:color="auto"/>
        <w:bottom w:val="none" w:sz="0" w:space="0" w:color="auto"/>
        <w:right w:val="none" w:sz="0" w:space="0" w:color="auto"/>
      </w:divBdr>
      <w:divsChild>
        <w:div w:id="1121532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22Fyksen%20TS%22%5BAuthor%5D" TargetMode="External"/><Relationship Id="rId13" Type="http://schemas.openxmlformats.org/officeDocument/2006/relationships/hyperlink" Target="https://doi.org/10.1210/clinem/dgz32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rnal.usp.br/ciencias/ciencias-da-saude/ciencias-2811-anabolizantes-comprometem-funcionalidade-do-colesterol-b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36/openhrt-2025-00337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mc.ncbi.nlm.nih.gov/articles/PMC56145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mc.ncbi.nlm.nih.gov/articles/PMC5614517/" TargetMode="External"/><Relationship Id="rId14" Type="http://schemas.openxmlformats.org/officeDocument/2006/relationships/hyperlink" Target="https://doi.org/10.1210/jendso/bvaa03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37D89-08F5-4717-A42D-1105C6FC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6589</Words>
  <Characters>35586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contato. rease</cp:lastModifiedBy>
  <cp:revision>3</cp:revision>
  <cp:lastPrinted>2024-07-11T15:55:00Z</cp:lastPrinted>
  <dcterms:created xsi:type="dcterms:W3CDTF">2026-09-08T14:30:00Z</dcterms:created>
  <dcterms:modified xsi:type="dcterms:W3CDTF">2026-09-09T00:07:00Z</dcterms:modified>
</cp:coreProperties>
</file>