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8F008" w14:textId="23E4C37A" w:rsidR="25589503" w:rsidRDefault="25589503" w:rsidP="00243910">
      <w:pPr>
        <w:jc w:val="center"/>
      </w:pPr>
    </w:p>
    <w:p w14:paraId="0D0F0A68" w14:textId="753AA217" w:rsidR="560FCD6A" w:rsidRDefault="560FCD6A" w:rsidP="00243910">
      <w:pPr>
        <w:jc w:val="center"/>
      </w:pPr>
    </w:p>
    <w:p w14:paraId="58786621" w14:textId="15576B12" w:rsidR="00243910" w:rsidRDefault="00194809" w:rsidP="00194809">
      <w:pPr>
        <w:spacing w:after="240"/>
        <w:ind w:left="1" w:hanging="3"/>
        <w:jc w:val="right"/>
        <w:rPr>
          <w:rFonts w:ascii="High Tower Text" w:eastAsia="Arial" w:hAnsi="High Tower Text" w:cs="Arial"/>
          <w:sz w:val="20"/>
          <w:szCs w:val="20"/>
        </w:rPr>
      </w:pPr>
      <w:r w:rsidRPr="00194809">
        <w:rPr>
          <w:rFonts w:ascii="High Tower Text" w:eastAsia="Arial" w:hAnsi="High Tower Text" w:cs="Arial"/>
          <w:sz w:val="20"/>
          <w:szCs w:val="20"/>
        </w:rPr>
        <w:t>doi.org/</w:t>
      </w:r>
      <w:r w:rsidR="001532FA" w:rsidRPr="001532FA">
        <w:rPr>
          <w:rFonts w:ascii="High Tower Text" w:eastAsia="Arial" w:hAnsi="High Tower Text" w:cs="Arial"/>
          <w:sz w:val="20"/>
          <w:szCs w:val="20"/>
        </w:rPr>
        <w:t>10.51891/rease.v12i3.25103</w:t>
      </w:r>
    </w:p>
    <w:p w14:paraId="4855857A" w14:textId="77777777" w:rsidR="00194809" w:rsidRPr="00194809" w:rsidRDefault="00194809" w:rsidP="00194809">
      <w:pPr>
        <w:spacing w:after="240"/>
        <w:ind w:left="1" w:hanging="3"/>
        <w:jc w:val="right"/>
        <w:rPr>
          <w:rFonts w:ascii="High Tower Text" w:eastAsia="Arial" w:hAnsi="High Tower Text" w:cs="Arial"/>
          <w:sz w:val="20"/>
          <w:szCs w:val="20"/>
        </w:rPr>
      </w:pPr>
    </w:p>
    <w:p w14:paraId="07FA72EF" w14:textId="1337BFB9" w:rsidR="00243910" w:rsidRPr="00243910" w:rsidRDefault="00243910" w:rsidP="00243910">
      <w:pPr>
        <w:spacing w:after="240"/>
        <w:ind w:hanging="2"/>
        <w:jc w:val="center"/>
        <w:rPr>
          <w:rFonts w:ascii="High Tower Text" w:eastAsia="Arial" w:hAnsi="High Tower Text" w:cs="Arial"/>
          <w:b/>
          <w:bCs/>
          <w:szCs w:val="24"/>
        </w:rPr>
      </w:pPr>
      <w:r w:rsidRPr="00243910">
        <w:rPr>
          <w:rFonts w:ascii="High Tower Text" w:eastAsia="Arial" w:hAnsi="High Tower Text" w:cs="Arial"/>
          <w:b/>
          <w:bCs/>
          <w:szCs w:val="24"/>
        </w:rPr>
        <w:t>MONKEYPOX COMO EMERGÊNCIA DE SAÚDE PÚBLICA: DESAFIOS PARA A GOVERNANÇA SANITÁRIA E A RESPOSTA DO SISTEMA DE SAÚDE NO ÂMBITO NACIONAL</w:t>
      </w:r>
    </w:p>
    <w:p w14:paraId="67239162" w14:textId="5CC2D5FA" w:rsidR="00243910" w:rsidRPr="00243910" w:rsidRDefault="00243910" w:rsidP="00243910">
      <w:pPr>
        <w:spacing w:after="240"/>
        <w:ind w:hanging="2"/>
        <w:jc w:val="center"/>
        <w:rPr>
          <w:rFonts w:ascii="High Tower Text" w:eastAsia="Arial" w:hAnsi="High Tower Text" w:cs="Arial"/>
          <w:sz w:val="22"/>
          <w:lang w:val="en-US"/>
        </w:rPr>
      </w:pPr>
      <w:r w:rsidRPr="00243910">
        <w:rPr>
          <w:rFonts w:ascii="High Tower Text" w:eastAsia="Arial" w:hAnsi="High Tower Text" w:cs="Arial"/>
          <w:sz w:val="22"/>
          <w:lang w:val="en-US"/>
        </w:rPr>
        <w:t>MONKEYPOX AS A PUBLIC HEALTH EMERGENCY: CHALLENGES FOR HEALTH GOVERNANCE AND THE NATIONAL HEALTH SYSTEM RESPONSE</w:t>
      </w:r>
    </w:p>
    <w:p w14:paraId="5A8D541C" w14:textId="77777777" w:rsidR="00243910" w:rsidRPr="00243910" w:rsidRDefault="00243910" w:rsidP="00243910">
      <w:pPr>
        <w:spacing w:after="240"/>
        <w:ind w:hanging="2"/>
        <w:jc w:val="center"/>
        <w:rPr>
          <w:rFonts w:ascii="High Tower Text" w:eastAsia="Arial" w:hAnsi="High Tower Text" w:cs="Arial"/>
          <w:sz w:val="22"/>
        </w:rPr>
      </w:pPr>
      <w:r w:rsidRPr="00243910">
        <w:rPr>
          <w:rFonts w:ascii="High Tower Text" w:eastAsia="Arial" w:hAnsi="High Tower Text" w:cs="Arial"/>
          <w:color w:val="212121"/>
          <w:sz w:val="22"/>
        </w:rPr>
        <w:t>MONKEYPOX COMO EMERGENCIA DE SALUD PÚBLICA: DESAFÍOS PARA LA GOBERNANZA SANITARIA Y LA RESPUESTA DEL SISTEMA DE SALUD EN EL ÁMBITO NACIONAL</w:t>
      </w:r>
    </w:p>
    <w:p w14:paraId="7AE0AB82" w14:textId="60918FAA" w:rsidR="00243910" w:rsidRDefault="00243910" w:rsidP="00243910">
      <w:pPr>
        <w:spacing w:after="120"/>
        <w:ind w:hanging="2"/>
        <w:rPr>
          <w:rFonts w:ascii="High Tower Text" w:eastAsia="Arial" w:hAnsi="High Tower Text" w:cs="Arial"/>
          <w:sz w:val="16"/>
          <w:szCs w:val="16"/>
        </w:rPr>
      </w:pPr>
    </w:p>
    <w:p w14:paraId="4B415309" w14:textId="77777777" w:rsidR="00DD734F" w:rsidRPr="00243910" w:rsidRDefault="00DD734F" w:rsidP="00243910">
      <w:pPr>
        <w:spacing w:after="120"/>
        <w:ind w:hanging="2"/>
        <w:rPr>
          <w:rFonts w:ascii="High Tower Text" w:eastAsia="Arial" w:hAnsi="High Tower Text" w:cs="Arial"/>
          <w:sz w:val="16"/>
          <w:szCs w:val="16"/>
        </w:rPr>
      </w:pPr>
    </w:p>
    <w:p w14:paraId="1820854D" w14:textId="77777777" w:rsidR="00243910" w:rsidRPr="00243910" w:rsidRDefault="00243910" w:rsidP="00243910">
      <w:pPr>
        <w:ind w:hanging="2"/>
        <w:jc w:val="center"/>
        <w:rPr>
          <w:rFonts w:ascii="Garamond" w:eastAsia="Arial" w:hAnsi="Garamond" w:cs="Arial"/>
          <w:b/>
          <w:bCs/>
          <w:sz w:val="22"/>
        </w:rPr>
      </w:pPr>
      <w:r w:rsidRPr="00243910">
        <w:rPr>
          <w:rFonts w:ascii="Garamond" w:eastAsia="Arial" w:hAnsi="Garamond" w:cs="Arial"/>
          <w:b/>
          <w:bCs/>
          <w:sz w:val="22"/>
        </w:rPr>
        <w:t>Victor Hugo Moreira de Lima</w:t>
      </w:r>
      <w:r w:rsidRPr="00243910">
        <w:rPr>
          <w:rFonts w:ascii="Garamond" w:eastAsia="Arial" w:hAnsi="Garamond" w:cs="Arial"/>
          <w:b/>
          <w:bCs/>
          <w:sz w:val="22"/>
          <w:vertAlign w:val="superscript"/>
        </w:rPr>
        <w:footnoteReference w:id="1"/>
      </w:r>
    </w:p>
    <w:p w14:paraId="32A6A42E" w14:textId="77777777" w:rsidR="00243910" w:rsidRPr="00243910" w:rsidRDefault="00243910" w:rsidP="00243910">
      <w:pPr>
        <w:ind w:hanging="2"/>
        <w:jc w:val="center"/>
        <w:rPr>
          <w:rFonts w:ascii="Garamond" w:eastAsia="Arial" w:hAnsi="Garamond" w:cs="Arial"/>
          <w:sz w:val="22"/>
        </w:rPr>
      </w:pPr>
      <w:proofErr w:type="spellStart"/>
      <w:r w:rsidRPr="00243910">
        <w:rPr>
          <w:rFonts w:ascii="Garamond" w:eastAsia="Arial" w:hAnsi="Garamond" w:cs="Arial"/>
          <w:b/>
          <w:bCs/>
          <w:sz w:val="22"/>
        </w:rPr>
        <w:t>Kharlo</w:t>
      </w:r>
      <w:proofErr w:type="spellEnd"/>
      <w:r w:rsidRPr="00243910">
        <w:rPr>
          <w:rFonts w:ascii="Garamond" w:eastAsia="Arial" w:hAnsi="Garamond" w:cs="Arial"/>
          <w:b/>
          <w:bCs/>
          <w:sz w:val="22"/>
        </w:rPr>
        <w:t xml:space="preserve"> </w:t>
      </w:r>
      <w:proofErr w:type="spellStart"/>
      <w:r w:rsidRPr="00243910">
        <w:rPr>
          <w:rFonts w:ascii="Garamond" w:eastAsia="Arial" w:hAnsi="Garamond" w:cs="Arial"/>
          <w:b/>
          <w:bCs/>
          <w:sz w:val="22"/>
        </w:rPr>
        <w:t>Emmanuely</w:t>
      </w:r>
      <w:proofErr w:type="spellEnd"/>
      <w:r w:rsidRPr="00243910">
        <w:rPr>
          <w:rFonts w:ascii="Garamond" w:eastAsia="Arial" w:hAnsi="Garamond" w:cs="Arial"/>
          <w:b/>
          <w:bCs/>
          <w:sz w:val="22"/>
        </w:rPr>
        <w:t xml:space="preserve"> Gonçalves de Oliveira e Silva</w:t>
      </w:r>
      <w:r w:rsidRPr="00243910">
        <w:rPr>
          <w:rFonts w:ascii="Garamond" w:eastAsia="Arial" w:hAnsi="Garamond" w:cs="Arial"/>
          <w:b/>
          <w:bCs/>
          <w:sz w:val="22"/>
          <w:vertAlign w:val="superscript"/>
        </w:rPr>
        <w:footnoteReference w:id="2"/>
      </w:r>
    </w:p>
    <w:p w14:paraId="3DF53DF2" w14:textId="4F04937F" w:rsidR="00243910" w:rsidRPr="00243910" w:rsidRDefault="00243910" w:rsidP="00243910">
      <w:pPr>
        <w:ind w:hanging="2"/>
        <w:jc w:val="center"/>
        <w:rPr>
          <w:rFonts w:ascii="Garamond" w:eastAsia="Arial" w:hAnsi="Garamond" w:cs="Arial"/>
          <w:b/>
          <w:bCs/>
          <w:sz w:val="22"/>
          <w:vertAlign w:val="superscript"/>
        </w:rPr>
      </w:pPr>
      <w:proofErr w:type="spellStart"/>
      <w:r w:rsidRPr="00243910">
        <w:rPr>
          <w:rFonts w:ascii="Garamond" w:eastAsia="Arial" w:hAnsi="Garamond" w:cs="Arial"/>
          <w:b/>
          <w:bCs/>
          <w:sz w:val="22"/>
        </w:rPr>
        <w:t>Wendeson</w:t>
      </w:r>
      <w:proofErr w:type="spellEnd"/>
      <w:r w:rsidRPr="00243910">
        <w:rPr>
          <w:rFonts w:ascii="Garamond" w:eastAsia="Arial" w:hAnsi="Garamond" w:cs="Arial"/>
          <w:b/>
          <w:bCs/>
          <w:sz w:val="22"/>
        </w:rPr>
        <w:t xml:space="preserve"> C</w:t>
      </w:r>
      <w:r w:rsidR="00415F12">
        <w:rPr>
          <w:rFonts w:ascii="Garamond" w:eastAsia="Arial" w:hAnsi="Garamond" w:cs="Arial"/>
          <w:b/>
          <w:bCs/>
          <w:sz w:val="22"/>
        </w:rPr>
        <w:t>o</w:t>
      </w:r>
      <w:r w:rsidRPr="00243910">
        <w:rPr>
          <w:rFonts w:ascii="Garamond" w:eastAsia="Arial" w:hAnsi="Garamond" w:cs="Arial"/>
          <w:b/>
          <w:bCs/>
          <w:sz w:val="22"/>
        </w:rPr>
        <w:t>rdeiro dos Santos</w:t>
      </w:r>
      <w:r w:rsidRPr="00243910">
        <w:rPr>
          <w:rFonts w:ascii="Garamond" w:eastAsia="Arial" w:hAnsi="Garamond" w:cs="Arial"/>
          <w:b/>
          <w:bCs/>
          <w:sz w:val="22"/>
          <w:vertAlign w:val="superscript"/>
        </w:rPr>
        <w:footnoteReference w:id="3"/>
      </w:r>
    </w:p>
    <w:p w14:paraId="04564077" w14:textId="77777777" w:rsidR="00243910" w:rsidRPr="00243910" w:rsidRDefault="00243910" w:rsidP="00243910">
      <w:pPr>
        <w:ind w:hanging="2"/>
        <w:jc w:val="center"/>
        <w:rPr>
          <w:rFonts w:ascii="Garamond" w:eastAsia="Arial" w:hAnsi="Garamond" w:cs="Arial"/>
          <w:b/>
          <w:bCs/>
          <w:sz w:val="22"/>
        </w:rPr>
      </w:pPr>
      <w:r w:rsidRPr="00243910">
        <w:rPr>
          <w:rFonts w:ascii="Garamond" w:eastAsia="Arial" w:hAnsi="Garamond" w:cs="Arial"/>
          <w:b/>
          <w:bCs/>
          <w:sz w:val="22"/>
        </w:rPr>
        <w:t>Humberto Rabelo</w:t>
      </w:r>
      <w:r w:rsidRPr="00243910">
        <w:rPr>
          <w:rFonts w:ascii="Garamond" w:eastAsia="Arial" w:hAnsi="Garamond" w:cs="Arial"/>
          <w:b/>
          <w:bCs/>
          <w:sz w:val="22"/>
          <w:vertAlign w:val="superscript"/>
        </w:rPr>
        <w:footnoteReference w:id="4"/>
      </w:r>
    </w:p>
    <w:p w14:paraId="7BF3B6A5" w14:textId="77777777" w:rsidR="00243910" w:rsidRPr="00243910" w:rsidRDefault="00243910" w:rsidP="00243910">
      <w:pPr>
        <w:ind w:hanging="2"/>
        <w:jc w:val="center"/>
        <w:rPr>
          <w:rFonts w:ascii="Garamond" w:eastAsia="Arial" w:hAnsi="Garamond" w:cs="Arial"/>
          <w:sz w:val="22"/>
        </w:rPr>
      </w:pPr>
      <w:r w:rsidRPr="00243910">
        <w:rPr>
          <w:rFonts w:ascii="Garamond" w:eastAsia="Arial" w:hAnsi="Garamond" w:cs="Arial"/>
          <w:b/>
          <w:bCs/>
          <w:sz w:val="22"/>
        </w:rPr>
        <w:t>Jeniffer de Souza Valentim</w:t>
      </w:r>
      <w:r w:rsidRPr="00243910">
        <w:rPr>
          <w:rFonts w:ascii="Garamond" w:eastAsia="Arial" w:hAnsi="Garamond" w:cs="Arial"/>
          <w:b/>
          <w:bCs/>
          <w:sz w:val="22"/>
          <w:vertAlign w:val="superscript"/>
        </w:rPr>
        <w:footnoteReference w:id="5"/>
      </w:r>
    </w:p>
    <w:p w14:paraId="1B2C146A" w14:textId="480399DA" w:rsidR="00243910" w:rsidRDefault="00243910" w:rsidP="00DD734F">
      <w:pPr>
        <w:ind w:hanging="2"/>
        <w:jc w:val="center"/>
        <w:rPr>
          <w:rFonts w:ascii="Garamond" w:eastAsia="Arial" w:hAnsi="Garamond" w:cs="Arial"/>
          <w:sz w:val="22"/>
        </w:rPr>
      </w:pPr>
      <w:r w:rsidRPr="00243910">
        <w:rPr>
          <w:rFonts w:ascii="Garamond" w:eastAsia="Arial" w:hAnsi="Garamond" w:cs="Arial"/>
          <w:b/>
          <w:bCs/>
          <w:sz w:val="22"/>
        </w:rPr>
        <w:t>Carolina Santana Ullrich</w:t>
      </w:r>
      <w:r w:rsidRPr="00243910">
        <w:rPr>
          <w:rFonts w:ascii="Garamond" w:eastAsia="Arial" w:hAnsi="Garamond" w:cs="Arial"/>
          <w:b/>
          <w:bCs/>
          <w:sz w:val="22"/>
          <w:vertAlign w:val="superscript"/>
        </w:rPr>
        <w:footnoteReference w:id="6"/>
      </w:r>
    </w:p>
    <w:p w14:paraId="4D32263F" w14:textId="17F227DD" w:rsidR="00DD734F" w:rsidRDefault="00DD734F" w:rsidP="00DD734F">
      <w:pPr>
        <w:ind w:hanging="2"/>
        <w:jc w:val="center"/>
        <w:rPr>
          <w:rFonts w:ascii="Garamond" w:eastAsia="Arial" w:hAnsi="Garamond" w:cs="Arial"/>
          <w:sz w:val="22"/>
        </w:rPr>
      </w:pPr>
    </w:p>
    <w:p w14:paraId="3FF00F1E" w14:textId="77777777" w:rsidR="00DD734F" w:rsidRPr="00DD734F" w:rsidRDefault="00DD734F" w:rsidP="00DD734F">
      <w:pPr>
        <w:ind w:hanging="2"/>
        <w:jc w:val="center"/>
        <w:rPr>
          <w:rFonts w:ascii="Garamond" w:eastAsia="Arial" w:hAnsi="Garamond" w:cs="Arial"/>
          <w:sz w:val="22"/>
        </w:rPr>
      </w:pPr>
    </w:p>
    <w:p w14:paraId="0517EE25" w14:textId="77777777" w:rsidR="00243910" w:rsidRPr="00243910" w:rsidRDefault="00243910" w:rsidP="00243910">
      <w:pPr>
        <w:rPr>
          <w:rFonts w:ascii="High Tower Text" w:eastAsia="Arial" w:hAnsi="High Tower Text" w:cs="Arial"/>
        </w:rPr>
      </w:pPr>
      <w:r w:rsidRPr="00243910">
        <w:rPr>
          <w:rFonts w:ascii="High Tower Text" w:eastAsia="Arial" w:hAnsi="High Tower Text" w:cs="Arial"/>
          <w:color w:val="C45911" w:themeColor="accent2" w:themeShade="BF"/>
        </w:rPr>
        <w:t>RESUMO:</w:t>
      </w:r>
      <w:r w:rsidRPr="00243910">
        <w:rPr>
          <w:rFonts w:ascii="High Tower Text" w:eastAsia="Arial" w:hAnsi="High Tower Text" w:cs="Arial"/>
          <w:b/>
          <w:bCs/>
          <w:color w:val="C45911" w:themeColor="accent2" w:themeShade="BF"/>
        </w:rPr>
        <w:t xml:space="preserve"> </w:t>
      </w:r>
      <w:r w:rsidRPr="00243910">
        <w:rPr>
          <w:rFonts w:ascii="High Tower Text" w:eastAsia="Arial" w:hAnsi="High Tower Text" w:cs="Arial"/>
        </w:rPr>
        <w:t xml:space="preserve">A emergência da </w:t>
      </w:r>
      <w:proofErr w:type="spellStart"/>
      <w:r w:rsidRPr="00243910">
        <w:rPr>
          <w:rFonts w:ascii="High Tower Text" w:eastAsia="Arial" w:hAnsi="High Tower Text" w:cs="Arial"/>
        </w:rPr>
        <w:t>Monkeypox</w:t>
      </w:r>
      <w:proofErr w:type="spellEnd"/>
      <w:r w:rsidRPr="00243910">
        <w:rPr>
          <w:rFonts w:ascii="High Tower Text" w:eastAsia="Arial" w:hAnsi="High Tower Text" w:cs="Arial"/>
        </w:rPr>
        <w:t xml:space="preserve">, a partir de 2022, configurou importante desafio para a saúde pública global, sendo reconhecida como Emergência de Saúde Pública de Importância Internacional pela World Health </w:t>
      </w:r>
      <w:proofErr w:type="spellStart"/>
      <w:r w:rsidRPr="00243910">
        <w:rPr>
          <w:rFonts w:ascii="High Tower Text" w:eastAsia="Arial" w:hAnsi="High Tower Text" w:cs="Arial"/>
        </w:rPr>
        <w:t>Organization</w:t>
      </w:r>
      <w:proofErr w:type="spellEnd"/>
      <w:r w:rsidRPr="00243910">
        <w:rPr>
          <w:rFonts w:ascii="High Tower Text" w:eastAsia="Arial" w:hAnsi="High Tower Text" w:cs="Arial"/>
        </w:rPr>
        <w:t xml:space="preserve">. No Brasil, a declaração de Emergência em Saúde Pública de Importância Nacional possibilitou a adoção de medidas normativas e assistenciais voltadas à vigilância, prevenção e controle da doença. Este estudo teve como objetivo analisar a </w:t>
      </w:r>
      <w:proofErr w:type="spellStart"/>
      <w:r w:rsidRPr="00243910">
        <w:rPr>
          <w:rFonts w:ascii="High Tower Text" w:eastAsia="Arial" w:hAnsi="High Tower Text" w:cs="Arial"/>
        </w:rPr>
        <w:t>Monkeypox</w:t>
      </w:r>
      <w:proofErr w:type="spellEnd"/>
      <w:r w:rsidRPr="00243910">
        <w:rPr>
          <w:rFonts w:ascii="High Tower Text" w:eastAsia="Arial" w:hAnsi="High Tower Text" w:cs="Arial"/>
        </w:rPr>
        <w:t xml:space="preserve"> como emergência de saúde pública, discutindo os desafios para a governança sanitária e para a organização da resposta do sistema de saúde no âmbito nacional. Trata-se de uma revisão narrativa e análise documental de publicações científicas e instrumentos normativos nacionais e internacionais. Os resultados evidenciaram rápida mobilização institucional e alinhamento às recomendações da Organização Pan-Americana da Saúde, porém acompanhados de desafios estruturais relacionados à capacidade diagnóstica, integração federativa, comunicação de risco e desigualdades regionais. Conclui-se que o fortalecimento da vigilância epidemiológica, da infraestrutura laboratorial e da governança intersetorial é fundamental para ampliar a resiliência do sistema de saúde frente a emergências sanitárias atuais e futuras.</w:t>
      </w:r>
    </w:p>
    <w:p w14:paraId="0217A76F" w14:textId="11472A80" w:rsidR="00243910" w:rsidRPr="00243910" w:rsidRDefault="00243910" w:rsidP="00243910">
      <w:pPr>
        <w:spacing w:before="100" w:beforeAutospacing="1" w:after="100" w:afterAutospacing="1"/>
        <w:rPr>
          <w:rFonts w:ascii="High Tower Text" w:eastAsia="Arial" w:hAnsi="High Tower Text" w:cs="Arial"/>
          <w:lang w:val="en-US"/>
        </w:rPr>
      </w:pPr>
      <w:r w:rsidRPr="00243910">
        <w:rPr>
          <w:rFonts w:ascii="High Tower Text" w:eastAsia="Arial" w:hAnsi="High Tower Text" w:cs="Arial"/>
          <w:b/>
          <w:bCs/>
        </w:rPr>
        <w:t xml:space="preserve">Palavras-chave: </w:t>
      </w:r>
      <w:r w:rsidRPr="00243910">
        <w:rPr>
          <w:rFonts w:ascii="High Tower Text" w:eastAsia="Arial" w:hAnsi="High Tower Text" w:cs="Arial"/>
        </w:rPr>
        <w:t>Governança sanitária</w:t>
      </w:r>
      <w:r>
        <w:rPr>
          <w:rFonts w:ascii="High Tower Text" w:eastAsia="Arial" w:hAnsi="High Tower Text" w:cs="Arial"/>
        </w:rPr>
        <w:t>.</w:t>
      </w:r>
      <w:r w:rsidRPr="00243910">
        <w:rPr>
          <w:rFonts w:ascii="High Tower Text" w:eastAsia="Arial" w:hAnsi="High Tower Text" w:cs="Arial"/>
        </w:rPr>
        <w:t xml:space="preserve"> </w:t>
      </w:r>
      <w:proofErr w:type="spellStart"/>
      <w:r w:rsidRPr="00194809">
        <w:rPr>
          <w:rFonts w:ascii="High Tower Text" w:eastAsia="Arial" w:hAnsi="High Tower Text" w:cs="Arial"/>
        </w:rPr>
        <w:t>Monkeypox</w:t>
      </w:r>
      <w:proofErr w:type="spellEnd"/>
      <w:r w:rsidRPr="00194809">
        <w:rPr>
          <w:rFonts w:ascii="High Tower Text" w:eastAsia="Arial" w:hAnsi="High Tower Text" w:cs="Arial"/>
        </w:rPr>
        <w:t xml:space="preserve">. </w:t>
      </w:r>
      <w:proofErr w:type="spellStart"/>
      <w:r w:rsidRPr="00243910">
        <w:rPr>
          <w:rFonts w:ascii="High Tower Text" w:eastAsia="Arial" w:hAnsi="High Tower Text" w:cs="Arial"/>
          <w:lang w:val="en-US"/>
        </w:rPr>
        <w:t>Vigilância</w:t>
      </w:r>
      <w:proofErr w:type="spellEnd"/>
      <w:r w:rsidRPr="00243910">
        <w:rPr>
          <w:rFonts w:ascii="High Tower Text" w:eastAsia="Arial" w:hAnsi="High Tower Text" w:cs="Arial"/>
          <w:lang w:val="en-US"/>
        </w:rPr>
        <w:t xml:space="preserve"> </w:t>
      </w:r>
      <w:proofErr w:type="spellStart"/>
      <w:r w:rsidRPr="00243910">
        <w:rPr>
          <w:rFonts w:ascii="High Tower Text" w:eastAsia="Arial" w:hAnsi="High Tower Text" w:cs="Arial"/>
          <w:lang w:val="en-US"/>
        </w:rPr>
        <w:t>epidemiológica</w:t>
      </w:r>
      <w:proofErr w:type="spellEnd"/>
      <w:r w:rsidRPr="00243910">
        <w:rPr>
          <w:rFonts w:ascii="High Tower Text" w:eastAsia="Arial" w:hAnsi="High Tower Text" w:cs="Arial"/>
          <w:lang w:val="en-US"/>
        </w:rPr>
        <w:t>.</w:t>
      </w:r>
    </w:p>
    <w:p w14:paraId="25143CB5" w14:textId="77777777" w:rsidR="00243910" w:rsidRDefault="00243910" w:rsidP="002439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High Tower Text" w:eastAsia="Arial" w:hAnsi="High Tower Text" w:cs="Arial"/>
          <w:color w:val="C45911" w:themeColor="accent2" w:themeShade="BF"/>
          <w:lang w:val="en-US"/>
        </w:rPr>
      </w:pPr>
    </w:p>
    <w:p w14:paraId="607F0452" w14:textId="72363821" w:rsidR="00243910" w:rsidRPr="00243910" w:rsidRDefault="00243910" w:rsidP="002439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High Tower Text" w:eastAsia="Arial" w:hAnsi="High Tower Text" w:cs="Arial"/>
          <w:color w:val="212121"/>
          <w:lang w:val="en-US"/>
        </w:rPr>
      </w:pPr>
      <w:r w:rsidRPr="00243910">
        <w:rPr>
          <w:rFonts w:ascii="High Tower Text" w:eastAsia="Arial" w:hAnsi="High Tower Text" w:cs="Arial"/>
          <w:color w:val="C45911" w:themeColor="accent2" w:themeShade="BF"/>
          <w:lang w:val="en-US"/>
        </w:rPr>
        <w:lastRenderedPageBreak/>
        <w:t>ABSTRACT:</w:t>
      </w:r>
      <w:r w:rsidRPr="00243910">
        <w:rPr>
          <w:rFonts w:ascii="High Tower Text" w:eastAsia="Arial" w:hAnsi="High Tower Text" w:cs="Arial"/>
          <w:b/>
          <w:bCs/>
          <w:color w:val="C45911" w:themeColor="accent2" w:themeShade="BF"/>
          <w:lang w:val="en-US"/>
        </w:rPr>
        <w:t xml:space="preserve"> </w:t>
      </w:r>
      <w:r w:rsidRPr="00243910">
        <w:rPr>
          <w:rFonts w:ascii="High Tower Text" w:eastAsia="Arial" w:hAnsi="High Tower Text" w:cs="Arial"/>
          <w:lang w:val="en-US"/>
        </w:rPr>
        <w:t xml:space="preserve">The emergence of Monkeypox in 2022 posed a significant challenge to global public health and was declared a Public Health Emergency of International Concern by the World Health Organization. In Brazil, the declaration of a National Public Health Emergency enabled the implementation of regulatory and healthcare measures aimed at surveillance, prevention, and control of the disease. This study aimed to analyze Monkeypox as a public health emergency, discussing the challenges for health governance and the organization of the health system response at the national level. A narrative review and document analysis of national and international scientific publications and regulatory instruments were conducted. The findings revealed rapid institutional mobilization and alignment with the recommendations of the </w:t>
      </w:r>
      <w:proofErr w:type="spellStart"/>
      <w:r w:rsidRPr="00243910">
        <w:rPr>
          <w:rFonts w:ascii="High Tower Text" w:eastAsia="Arial" w:hAnsi="High Tower Text" w:cs="Arial"/>
          <w:lang w:val="en-US"/>
        </w:rPr>
        <w:t>Organização</w:t>
      </w:r>
      <w:proofErr w:type="spellEnd"/>
      <w:r w:rsidRPr="00243910">
        <w:rPr>
          <w:rFonts w:ascii="High Tower Text" w:eastAsia="Arial" w:hAnsi="High Tower Text" w:cs="Arial"/>
          <w:lang w:val="en-US"/>
        </w:rPr>
        <w:t xml:space="preserve"> Pan-Americana da </w:t>
      </w:r>
      <w:proofErr w:type="spellStart"/>
      <w:r w:rsidRPr="00243910">
        <w:rPr>
          <w:rFonts w:ascii="High Tower Text" w:eastAsia="Arial" w:hAnsi="High Tower Text" w:cs="Arial"/>
          <w:lang w:val="en-US"/>
        </w:rPr>
        <w:t>Saúde</w:t>
      </w:r>
      <w:proofErr w:type="spellEnd"/>
      <w:r w:rsidRPr="00243910">
        <w:rPr>
          <w:rFonts w:ascii="High Tower Text" w:eastAsia="Arial" w:hAnsi="High Tower Text" w:cs="Arial"/>
          <w:lang w:val="en-US"/>
        </w:rPr>
        <w:t>, although accompanied by structural challenges related to diagnostic capacity, federal coordination, risk communication, and regional inequalities. It is concluded that strengthening epidemiological surveillance, laboratory infrastructure, and intersectoral governance is essential to enhance health system resilience in the face of current and future public health emergencies.</w:t>
      </w:r>
    </w:p>
    <w:p w14:paraId="36040EB2" w14:textId="28E96C3E" w:rsidR="00243910" w:rsidRPr="00243910" w:rsidRDefault="00243910" w:rsidP="00243910">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rPr>
          <w:rFonts w:ascii="High Tower Text" w:eastAsia="Arial" w:hAnsi="High Tower Text" w:cs="Arial"/>
          <w:color w:val="212121"/>
          <w:lang w:val="en-US"/>
        </w:rPr>
      </w:pPr>
      <w:r w:rsidRPr="00243910">
        <w:rPr>
          <w:rFonts w:ascii="High Tower Text" w:eastAsia="Arial" w:hAnsi="High Tower Text" w:cs="Arial"/>
          <w:b/>
          <w:bCs/>
          <w:color w:val="212121"/>
          <w:lang w:val="en-US"/>
        </w:rPr>
        <w:t xml:space="preserve">Keywords: </w:t>
      </w:r>
      <w:r w:rsidRPr="00243910">
        <w:rPr>
          <w:rFonts w:ascii="High Tower Text" w:eastAsia="Arial" w:hAnsi="High Tower Text" w:cs="Arial"/>
          <w:color w:val="212121"/>
          <w:lang w:val="en-US"/>
        </w:rPr>
        <w:t>Health governance</w:t>
      </w:r>
      <w:r>
        <w:rPr>
          <w:rFonts w:ascii="High Tower Text" w:eastAsia="Arial" w:hAnsi="High Tower Text" w:cs="Arial"/>
          <w:color w:val="212121"/>
          <w:lang w:val="en-US"/>
        </w:rPr>
        <w:t>.</w:t>
      </w:r>
      <w:r w:rsidRPr="00243910">
        <w:rPr>
          <w:rFonts w:ascii="High Tower Text" w:eastAsia="Arial" w:hAnsi="High Tower Text" w:cs="Arial"/>
          <w:color w:val="212121"/>
          <w:lang w:val="en-US"/>
        </w:rPr>
        <w:t xml:space="preserve"> Monkeypox</w:t>
      </w:r>
      <w:r>
        <w:rPr>
          <w:rFonts w:ascii="High Tower Text" w:eastAsia="Arial" w:hAnsi="High Tower Text" w:cs="Arial"/>
          <w:color w:val="212121"/>
          <w:lang w:val="en-US"/>
        </w:rPr>
        <w:t>.</w:t>
      </w:r>
      <w:r w:rsidRPr="00243910">
        <w:rPr>
          <w:rFonts w:ascii="High Tower Text" w:eastAsia="Arial" w:hAnsi="High Tower Text" w:cs="Arial"/>
          <w:color w:val="212121"/>
          <w:lang w:val="en-US"/>
        </w:rPr>
        <w:t xml:space="preserve"> Epidemiological surveillance</w:t>
      </w:r>
      <w:r>
        <w:rPr>
          <w:rFonts w:ascii="High Tower Text" w:eastAsia="Arial" w:hAnsi="High Tower Text" w:cs="Arial"/>
          <w:color w:val="212121"/>
          <w:lang w:val="en-US"/>
        </w:rPr>
        <w:t>.</w:t>
      </w:r>
    </w:p>
    <w:p w14:paraId="54B4996E" w14:textId="75ABF692" w:rsidR="00243910" w:rsidRPr="00243910" w:rsidRDefault="00243910" w:rsidP="00243910">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High Tower Text" w:eastAsia="Arial" w:hAnsi="High Tower Text" w:cs="Arial"/>
          <w:color w:val="212121"/>
        </w:rPr>
      </w:pPr>
      <w:r w:rsidRPr="00243910">
        <w:rPr>
          <w:rFonts w:ascii="High Tower Text" w:eastAsia="Arial" w:hAnsi="High Tower Text" w:cs="Arial"/>
          <w:color w:val="C45911" w:themeColor="accent2" w:themeShade="BF"/>
        </w:rPr>
        <w:t>RESUMEN:</w:t>
      </w:r>
      <w:r w:rsidRPr="00243910">
        <w:rPr>
          <w:rFonts w:ascii="High Tower Text" w:eastAsia="Arial" w:hAnsi="High Tower Text" w:cs="Arial"/>
          <w:b/>
          <w:bCs/>
          <w:color w:val="C45911" w:themeColor="accent2" w:themeShade="BF"/>
        </w:rPr>
        <w:t xml:space="preserve"> </w:t>
      </w:r>
      <w:r w:rsidRPr="00243910">
        <w:rPr>
          <w:rFonts w:ascii="High Tower Text" w:eastAsia="Arial" w:hAnsi="High Tower Text" w:cs="Arial"/>
        </w:rPr>
        <w:t xml:space="preserve">La </w:t>
      </w:r>
      <w:proofErr w:type="spellStart"/>
      <w:r w:rsidRPr="00243910">
        <w:rPr>
          <w:rFonts w:ascii="High Tower Text" w:eastAsia="Arial" w:hAnsi="High Tower Text" w:cs="Arial"/>
        </w:rPr>
        <w:t>emergencia</w:t>
      </w:r>
      <w:proofErr w:type="spellEnd"/>
      <w:r w:rsidRPr="00243910">
        <w:rPr>
          <w:rFonts w:ascii="High Tower Text" w:eastAsia="Arial" w:hAnsi="High Tower Text" w:cs="Arial"/>
        </w:rPr>
        <w:t xml:space="preserve"> de </w:t>
      </w:r>
      <w:proofErr w:type="spellStart"/>
      <w:r w:rsidRPr="00243910">
        <w:rPr>
          <w:rFonts w:ascii="High Tower Text" w:eastAsia="Arial" w:hAnsi="High Tower Text" w:cs="Arial"/>
        </w:rPr>
        <w:t>la</w:t>
      </w:r>
      <w:proofErr w:type="spellEnd"/>
      <w:r w:rsidRPr="00243910">
        <w:rPr>
          <w:rFonts w:ascii="High Tower Text" w:eastAsia="Arial" w:hAnsi="High Tower Text" w:cs="Arial"/>
        </w:rPr>
        <w:t xml:space="preserve"> </w:t>
      </w:r>
      <w:proofErr w:type="spellStart"/>
      <w:r w:rsidRPr="00243910">
        <w:rPr>
          <w:rFonts w:ascii="High Tower Text" w:eastAsia="Arial" w:hAnsi="High Tower Text" w:cs="Arial"/>
        </w:rPr>
        <w:t>viruela</w:t>
      </w:r>
      <w:proofErr w:type="spellEnd"/>
      <w:r w:rsidRPr="00243910">
        <w:rPr>
          <w:rFonts w:ascii="High Tower Text" w:eastAsia="Arial" w:hAnsi="High Tower Text" w:cs="Arial"/>
        </w:rPr>
        <w:t xml:space="preserve"> </w:t>
      </w:r>
      <w:proofErr w:type="spellStart"/>
      <w:r w:rsidRPr="00243910">
        <w:rPr>
          <w:rFonts w:ascii="High Tower Text" w:eastAsia="Arial" w:hAnsi="High Tower Text" w:cs="Arial"/>
        </w:rPr>
        <w:t>símica</w:t>
      </w:r>
      <w:proofErr w:type="spellEnd"/>
      <w:r w:rsidRPr="00243910">
        <w:rPr>
          <w:rFonts w:ascii="High Tower Text" w:eastAsia="Arial" w:hAnsi="High Tower Text" w:cs="Arial"/>
        </w:rPr>
        <w:t xml:space="preserve"> (</w:t>
      </w:r>
      <w:proofErr w:type="spellStart"/>
      <w:r w:rsidRPr="00243910">
        <w:rPr>
          <w:rFonts w:ascii="High Tower Text" w:eastAsia="Arial" w:hAnsi="High Tower Text" w:cs="Arial"/>
        </w:rPr>
        <w:t>Monkeypox</w:t>
      </w:r>
      <w:proofErr w:type="spellEnd"/>
      <w:r w:rsidRPr="00243910">
        <w:rPr>
          <w:rFonts w:ascii="High Tower Text" w:eastAsia="Arial" w:hAnsi="High Tower Text" w:cs="Arial"/>
        </w:rPr>
        <w:t xml:space="preserve">) </w:t>
      </w:r>
      <w:proofErr w:type="spellStart"/>
      <w:r w:rsidRPr="00243910">
        <w:rPr>
          <w:rFonts w:ascii="High Tower Text" w:eastAsia="Arial" w:hAnsi="High Tower Text" w:cs="Arial"/>
        </w:rPr>
        <w:t>en</w:t>
      </w:r>
      <w:proofErr w:type="spellEnd"/>
      <w:r w:rsidRPr="00243910">
        <w:rPr>
          <w:rFonts w:ascii="High Tower Text" w:eastAsia="Arial" w:hAnsi="High Tower Text" w:cs="Arial"/>
        </w:rPr>
        <w:t xml:space="preserve"> 2022 </w:t>
      </w:r>
      <w:proofErr w:type="spellStart"/>
      <w:r w:rsidRPr="00243910">
        <w:rPr>
          <w:rFonts w:ascii="High Tower Text" w:eastAsia="Arial" w:hAnsi="High Tower Text" w:cs="Arial"/>
        </w:rPr>
        <w:t>representó</w:t>
      </w:r>
      <w:proofErr w:type="spellEnd"/>
      <w:r w:rsidRPr="00243910">
        <w:rPr>
          <w:rFonts w:ascii="High Tower Text" w:eastAsia="Arial" w:hAnsi="High Tower Text" w:cs="Arial"/>
        </w:rPr>
        <w:t xml:space="preserve"> </w:t>
      </w:r>
      <w:proofErr w:type="spellStart"/>
      <w:r w:rsidRPr="00243910">
        <w:rPr>
          <w:rFonts w:ascii="High Tower Text" w:eastAsia="Arial" w:hAnsi="High Tower Text" w:cs="Arial"/>
        </w:rPr>
        <w:t>un</w:t>
      </w:r>
      <w:proofErr w:type="spellEnd"/>
      <w:r w:rsidRPr="00243910">
        <w:rPr>
          <w:rFonts w:ascii="High Tower Text" w:eastAsia="Arial" w:hAnsi="High Tower Text" w:cs="Arial"/>
        </w:rPr>
        <w:t xml:space="preserve"> importante </w:t>
      </w:r>
      <w:proofErr w:type="spellStart"/>
      <w:r w:rsidRPr="00243910">
        <w:rPr>
          <w:rFonts w:ascii="High Tower Text" w:eastAsia="Arial" w:hAnsi="High Tower Text" w:cs="Arial"/>
        </w:rPr>
        <w:t>desafío</w:t>
      </w:r>
      <w:proofErr w:type="spellEnd"/>
      <w:r w:rsidRPr="00243910">
        <w:rPr>
          <w:rFonts w:ascii="High Tower Text" w:eastAsia="Arial" w:hAnsi="High Tower Text" w:cs="Arial"/>
        </w:rPr>
        <w:t xml:space="preserve"> para </w:t>
      </w:r>
      <w:proofErr w:type="spellStart"/>
      <w:r w:rsidRPr="00243910">
        <w:rPr>
          <w:rFonts w:ascii="High Tower Text" w:eastAsia="Arial" w:hAnsi="High Tower Text" w:cs="Arial"/>
        </w:rPr>
        <w:t>la</w:t>
      </w:r>
      <w:proofErr w:type="spellEnd"/>
      <w:r w:rsidRPr="00243910">
        <w:rPr>
          <w:rFonts w:ascii="High Tower Text" w:eastAsia="Arial" w:hAnsi="High Tower Text" w:cs="Arial"/>
        </w:rPr>
        <w:t xml:space="preserve"> </w:t>
      </w:r>
      <w:proofErr w:type="spellStart"/>
      <w:r w:rsidRPr="00243910">
        <w:rPr>
          <w:rFonts w:ascii="High Tower Text" w:eastAsia="Arial" w:hAnsi="High Tower Text" w:cs="Arial"/>
        </w:rPr>
        <w:t>salud</w:t>
      </w:r>
      <w:proofErr w:type="spellEnd"/>
      <w:r w:rsidRPr="00243910">
        <w:rPr>
          <w:rFonts w:ascii="High Tower Text" w:eastAsia="Arial" w:hAnsi="High Tower Text" w:cs="Arial"/>
        </w:rPr>
        <w:t xml:space="preserve"> pública mundial y </w:t>
      </w:r>
      <w:proofErr w:type="spellStart"/>
      <w:r w:rsidRPr="00243910">
        <w:rPr>
          <w:rFonts w:ascii="High Tower Text" w:eastAsia="Arial" w:hAnsi="High Tower Text" w:cs="Arial"/>
        </w:rPr>
        <w:t>fue</w:t>
      </w:r>
      <w:proofErr w:type="spellEnd"/>
      <w:r w:rsidRPr="00243910">
        <w:rPr>
          <w:rFonts w:ascii="High Tower Text" w:eastAsia="Arial" w:hAnsi="High Tower Text" w:cs="Arial"/>
        </w:rPr>
        <w:t xml:space="preserve"> declarada </w:t>
      </w:r>
      <w:proofErr w:type="spellStart"/>
      <w:r w:rsidRPr="00243910">
        <w:rPr>
          <w:rFonts w:ascii="High Tower Text" w:eastAsia="Arial" w:hAnsi="High Tower Text" w:cs="Arial"/>
        </w:rPr>
        <w:t>Emergencia</w:t>
      </w:r>
      <w:proofErr w:type="spellEnd"/>
      <w:r w:rsidRPr="00243910">
        <w:rPr>
          <w:rFonts w:ascii="High Tower Text" w:eastAsia="Arial" w:hAnsi="High Tower Text" w:cs="Arial"/>
        </w:rPr>
        <w:t xml:space="preserve"> de Salud Pública de </w:t>
      </w:r>
      <w:proofErr w:type="spellStart"/>
      <w:r w:rsidRPr="00243910">
        <w:rPr>
          <w:rFonts w:ascii="High Tower Text" w:eastAsia="Arial" w:hAnsi="High Tower Text" w:cs="Arial"/>
        </w:rPr>
        <w:t>Importancia</w:t>
      </w:r>
      <w:proofErr w:type="spellEnd"/>
      <w:r w:rsidRPr="00243910">
        <w:rPr>
          <w:rFonts w:ascii="High Tower Text" w:eastAsia="Arial" w:hAnsi="High Tower Text" w:cs="Arial"/>
        </w:rPr>
        <w:t xml:space="preserve"> Internacional por </w:t>
      </w:r>
      <w:proofErr w:type="spellStart"/>
      <w:r w:rsidRPr="00243910">
        <w:rPr>
          <w:rFonts w:ascii="High Tower Text" w:eastAsia="Arial" w:hAnsi="High Tower Text" w:cs="Arial"/>
        </w:rPr>
        <w:t>la</w:t>
      </w:r>
      <w:proofErr w:type="spellEnd"/>
      <w:r w:rsidRPr="00243910">
        <w:rPr>
          <w:rFonts w:ascii="High Tower Text" w:eastAsia="Arial" w:hAnsi="High Tower Text" w:cs="Arial"/>
        </w:rPr>
        <w:t xml:space="preserve"> World Health </w:t>
      </w:r>
      <w:proofErr w:type="spellStart"/>
      <w:r w:rsidRPr="00243910">
        <w:rPr>
          <w:rFonts w:ascii="High Tower Text" w:eastAsia="Arial" w:hAnsi="High Tower Text" w:cs="Arial"/>
        </w:rPr>
        <w:t>Organization</w:t>
      </w:r>
      <w:proofErr w:type="spellEnd"/>
      <w:r w:rsidRPr="00243910">
        <w:rPr>
          <w:rFonts w:ascii="High Tower Text" w:eastAsia="Arial" w:hAnsi="High Tower Text" w:cs="Arial"/>
        </w:rPr>
        <w:t xml:space="preserve">. </w:t>
      </w:r>
      <w:proofErr w:type="spellStart"/>
      <w:r w:rsidRPr="00243910">
        <w:rPr>
          <w:rFonts w:ascii="High Tower Text" w:eastAsia="Arial" w:hAnsi="High Tower Text" w:cs="Arial"/>
        </w:rPr>
        <w:t>En</w:t>
      </w:r>
      <w:proofErr w:type="spellEnd"/>
      <w:r w:rsidRPr="00243910">
        <w:rPr>
          <w:rFonts w:ascii="High Tower Text" w:eastAsia="Arial" w:hAnsi="High Tower Text" w:cs="Arial"/>
        </w:rPr>
        <w:t xml:space="preserve"> Brasil, </w:t>
      </w:r>
      <w:proofErr w:type="spellStart"/>
      <w:r w:rsidRPr="00243910">
        <w:rPr>
          <w:rFonts w:ascii="High Tower Text" w:eastAsia="Arial" w:hAnsi="High Tower Text" w:cs="Arial"/>
        </w:rPr>
        <w:t>la</w:t>
      </w:r>
      <w:proofErr w:type="spellEnd"/>
      <w:r w:rsidRPr="00243910">
        <w:rPr>
          <w:rFonts w:ascii="High Tower Text" w:eastAsia="Arial" w:hAnsi="High Tower Text" w:cs="Arial"/>
        </w:rPr>
        <w:t xml:space="preserve"> </w:t>
      </w:r>
      <w:proofErr w:type="spellStart"/>
      <w:r w:rsidRPr="00243910">
        <w:rPr>
          <w:rFonts w:ascii="High Tower Text" w:eastAsia="Arial" w:hAnsi="High Tower Text" w:cs="Arial"/>
        </w:rPr>
        <w:t>declaración</w:t>
      </w:r>
      <w:proofErr w:type="spellEnd"/>
      <w:r w:rsidRPr="00243910">
        <w:rPr>
          <w:rFonts w:ascii="High Tower Text" w:eastAsia="Arial" w:hAnsi="High Tower Text" w:cs="Arial"/>
        </w:rPr>
        <w:t xml:space="preserve"> de </w:t>
      </w:r>
      <w:proofErr w:type="spellStart"/>
      <w:r w:rsidRPr="00243910">
        <w:rPr>
          <w:rFonts w:ascii="High Tower Text" w:eastAsia="Arial" w:hAnsi="High Tower Text" w:cs="Arial"/>
        </w:rPr>
        <w:t>Emergencia</w:t>
      </w:r>
      <w:proofErr w:type="spellEnd"/>
      <w:r w:rsidRPr="00243910">
        <w:rPr>
          <w:rFonts w:ascii="High Tower Text" w:eastAsia="Arial" w:hAnsi="High Tower Text" w:cs="Arial"/>
        </w:rPr>
        <w:t xml:space="preserve"> de Salud Pública de </w:t>
      </w:r>
      <w:proofErr w:type="spellStart"/>
      <w:r w:rsidRPr="00243910">
        <w:rPr>
          <w:rFonts w:ascii="High Tower Text" w:eastAsia="Arial" w:hAnsi="High Tower Text" w:cs="Arial"/>
        </w:rPr>
        <w:t>Importancia</w:t>
      </w:r>
      <w:proofErr w:type="spellEnd"/>
      <w:r w:rsidRPr="00243910">
        <w:rPr>
          <w:rFonts w:ascii="High Tower Text" w:eastAsia="Arial" w:hAnsi="High Tower Text" w:cs="Arial"/>
        </w:rPr>
        <w:t xml:space="preserve"> Nacional </w:t>
      </w:r>
      <w:proofErr w:type="spellStart"/>
      <w:r w:rsidRPr="00243910">
        <w:rPr>
          <w:rFonts w:ascii="High Tower Text" w:eastAsia="Arial" w:hAnsi="High Tower Text" w:cs="Arial"/>
        </w:rPr>
        <w:t>permitió</w:t>
      </w:r>
      <w:proofErr w:type="spellEnd"/>
      <w:r w:rsidRPr="00243910">
        <w:rPr>
          <w:rFonts w:ascii="High Tower Text" w:eastAsia="Arial" w:hAnsi="High Tower Text" w:cs="Arial"/>
        </w:rPr>
        <w:t xml:space="preserve"> </w:t>
      </w:r>
      <w:proofErr w:type="spellStart"/>
      <w:r w:rsidRPr="00243910">
        <w:rPr>
          <w:rFonts w:ascii="High Tower Text" w:eastAsia="Arial" w:hAnsi="High Tower Text" w:cs="Arial"/>
        </w:rPr>
        <w:t>la</w:t>
      </w:r>
      <w:proofErr w:type="spellEnd"/>
      <w:r w:rsidRPr="00243910">
        <w:rPr>
          <w:rFonts w:ascii="High Tower Text" w:eastAsia="Arial" w:hAnsi="High Tower Text" w:cs="Arial"/>
        </w:rPr>
        <w:t xml:space="preserve"> </w:t>
      </w:r>
      <w:proofErr w:type="spellStart"/>
      <w:r w:rsidRPr="00243910">
        <w:rPr>
          <w:rFonts w:ascii="High Tower Text" w:eastAsia="Arial" w:hAnsi="High Tower Text" w:cs="Arial"/>
        </w:rPr>
        <w:t>adopción</w:t>
      </w:r>
      <w:proofErr w:type="spellEnd"/>
      <w:r w:rsidRPr="00243910">
        <w:rPr>
          <w:rFonts w:ascii="High Tower Text" w:eastAsia="Arial" w:hAnsi="High Tower Text" w:cs="Arial"/>
        </w:rPr>
        <w:t xml:space="preserve"> de medidas normativas y </w:t>
      </w:r>
      <w:proofErr w:type="spellStart"/>
      <w:r w:rsidRPr="00243910">
        <w:rPr>
          <w:rFonts w:ascii="High Tower Text" w:eastAsia="Arial" w:hAnsi="High Tower Text" w:cs="Arial"/>
        </w:rPr>
        <w:t>asistenciales</w:t>
      </w:r>
      <w:proofErr w:type="spellEnd"/>
      <w:r w:rsidRPr="00243910">
        <w:rPr>
          <w:rFonts w:ascii="High Tower Text" w:eastAsia="Arial" w:hAnsi="High Tower Text" w:cs="Arial"/>
        </w:rPr>
        <w:t xml:space="preserve"> orientadas a </w:t>
      </w:r>
      <w:proofErr w:type="spellStart"/>
      <w:r w:rsidRPr="00243910">
        <w:rPr>
          <w:rFonts w:ascii="High Tower Text" w:eastAsia="Arial" w:hAnsi="High Tower Text" w:cs="Arial"/>
        </w:rPr>
        <w:t>la</w:t>
      </w:r>
      <w:proofErr w:type="spellEnd"/>
      <w:r w:rsidRPr="00243910">
        <w:rPr>
          <w:rFonts w:ascii="High Tower Text" w:eastAsia="Arial" w:hAnsi="High Tower Text" w:cs="Arial"/>
        </w:rPr>
        <w:t xml:space="preserve"> </w:t>
      </w:r>
      <w:proofErr w:type="spellStart"/>
      <w:r w:rsidRPr="00243910">
        <w:rPr>
          <w:rFonts w:ascii="High Tower Text" w:eastAsia="Arial" w:hAnsi="High Tower Text" w:cs="Arial"/>
        </w:rPr>
        <w:t>vigilancia</w:t>
      </w:r>
      <w:proofErr w:type="spellEnd"/>
      <w:r w:rsidRPr="00243910">
        <w:rPr>
          <w:rFonts w:ascii="High Tower Text" w:eastAsia="Arial" w:hAnsi="High Tower Text" w:cs="Arial"/>
        </w:rPr>
        <w:t xml:space="preserve">, </w:t>
      </w:r>
      <w:proofErr w:type="spellStart"/>
      <w:r w:rsidRPr="00243910">
        <w:rPr>
          <w:rFonts w:ascii="High Tower Text" w:eastAsia="Arial" w:hAnsi="High Tower Text" w:cs="Arial"/>
        </w:rPr>
        <w:t>prevención</w:t>
      </w:r>
      <w:proofErr w:type="spellEnd"/>
      <w:r w:rsidRPr="00243910">
        <w:rPr>
          <w:rFonts w:ascii="High Tower Text" w:eastAsia="Arial" w:hAnsi="High Tower Text" w:cs="Arial"/>
        </w:rPr>
        <w:t xml:space="preserve"> y </w:t>
      </w:r>
      <w:proofErr w:type="spellStart"/>
      <w:r w:rsidRPr="00243910">
        <w:rPr>
          <w:rFonts w:ascii="High Tower Text" w:eastAsia="Arial" w:hAnsi="High Tower Text" w:cs="Arial"/>
        </w:rPr>
        <w:t>control</w:t>
      </w:r>
      <w:proofErr w:type="spellEnd"/>
      <w:r w:rsidRPr="00243910">
        <w:rPr>
          <w:rFonts w:ascii="High Tower Text" w:eastAsia="Arial" w:hAnsi="High Tower Text" w:cs="Arial"/>
        </w:rPr>
        <w:t xml:space="preserve"> de </w:t>
      </w:r>
      <w:proofErr w:type="spellStart"/>
      <w:r w:rsidRPr="00243910">
        <w:rPr>
          <w:rFonts w:ascii="High Tower Text" w:eastAsia="Arial" w:hAnsi="High Tower Text" w:cs="Arial"/>
        </w:rPr>
        <w:t>la</w:t>
      </w:r>
      <w:proofErr w:type="spellEnd"/>
      <w:r w:rsidRPr="00243910">
        <w:rPr>
          <w:rFonts w:ascii="High Tower Text" w:eastAsia="Arial" w:hAnsi="High Tower Text" w:cs="Arial"/>
        </w:rPr>
        <w:t xml:space="preserve"> </w:t>
      </w:r>
      <w:proofErr w:type="spellStart"/>
      <w:r w:rsidRPr="00243910">
        <w:rPr>
          <w:rFonts w:ascii="High Tower Text" w:eastAsia="Arial" w:hAnsi="High Tower Text" w:cs="Arial"/>
        </w:rPr>
        <w:t>enfermedad</w:t>
      </w:r>
      <w:proofErr w:type="spellEnd"/>
      <w:r w:rsidRPr="00243910">
        <w:rPr>
          <w:rFonts w:ascii="High Tower Text" w:eastAsia="Arial" w:hAnsi="High Tower Text" w:cs="Arial"/>
        </w:rPr>
        <w:t xml:space="preserve">. Este </w:t>
      </w:r>
      <w:proofErr w:type="spellStart"/>
      <w:r w:rsidRPr="00243910">
        <w:rPr>
          <w:rFonts w:ascii="High Tower Text" w:eastAsia="Arial" w:hAnsi="High Tower Text" w:cs="Arial"/>
        </w:rPr>
        <w:t>estudio</w:t>
      </w:r>
      <w:proofErr w:type="spellEnd"/>
      <w:r w:rsidRPr="00243910">
        <w:rPr>
          <w:rFonts w:ascii="High Tower Text" w:eastAsia="Arial" w:hAnsi="High Tower Text" w:cs="Arial"/>
        </w:rPr>
        <w:t xml:space="preserve"> </w:t>
      </w:r>
      <w:proofErr w:type="spellStart"/>
      <w:r w:rsidRPr="00243910">
        <w:rPr>
          <w:rFonts w:ascii="High Tower Text" w:eastAsia="Arial" w:hAnsi="High Tower Text" w:cs="Arial"/>
        </w:rPr>
        <w:t>tuvo</w:t>
      </w:r>
      <w:proofErr w:type="spellEnd"/>
      <w:r w:rsidRPr="00243910">
        <w:rPr>
          <w:rFonts w:ascii="High Tower Text" w:eastAsia="Arial" w:hAnsi="High Tower Text" w:cs="Arial"/>
        </w:rPr>
        <w:t xml:space="preserve"> como objetivo </w:t>
      </w:r>
      <w:proofErr w:type="spellStart"/>
      <w:r w:rsidRPr="00243910">
        <w:rPr>
          <w:rFonts w:ascii="High Tower Text" w:eastAsia="Arial" w:hAnsi="High Tower Text" w:cs="Arial"/>
        </w:rPr>
        <w:t>analizar</w:t>
      </w:r>
      <w:proofErr w:type="spellEnd"/>
      <w:r w:rsidRPr="00243910">
        <w:rPr>
          <w:rFonts w:ascii="High Tower Text" w:eastAsia="Arial" w:hAnsi="High Tower Text" w:cs="Arial"/>
        </w:rPr>
        <w:t xml:space="preserve"> </w:t>
      </w:r>
      <w:proofErr w:type="spellStart"/>
      <w:r w:rsidRPr="00243910">
        <w:rPr>
          <w:rFonts w:ascii="High Tower Text" w:eastAsia="Arial" w:hAnsi="High Tower Text" w:cs="Arial"/>
        </w:rPr>
        <w:t>la</w:t>
      </w:r>
      <w:proofErr w:type="spellEnd"/>
      <w:r w:rsidRPr="00243910">
        <w:rPr>
          <w:rFonts w:ascii="High Tower Text" w:eastAsia="Arial" w:hAnsi="High Tower Text" w:cs="Arial"/>
        </w:rPr>
        <w:t xml:space="preserve"> </w:t>
      </w:r>
      <w:proofErr w:type="spellStart"/>
      <w:r w:rsidRPr="00243910">
        <w:rPr>
          <w:rFonts w:ascii="High Tower Text" w:eastAsia="Arial" w:hAnsi="High Tower Text" w:cs="Arial"/>
        </w:rPr>
        <w:t>Monkeypox</w:t>
      </w:r>
      <w:proofErr w:type="spellEnd"/>
      <w:r w:rsidRPr="00243910">
        <w:rPr>
          <w:rFonts w:ascii="High Tower Text" w:eastAsia="Arial" w:hAnsi="High Tower Text" w:cs="Arial"/>
        </w:rPr>
        <w:t xml:space="preserve"> como </w:t>
      </w:r>
      <w:proofErr w:type="spellStart"/>
      <w:r w:rsidRPr="00243910">
        <w:rPr>
          <w:rFonts w:ascii="High Tower Text" w:eastAsia="Arial" w:hAnsi="High Tower Text" w:cs="Arial"/>
        </w:rPr>
        <w:t>emergencia</w:t>
      </w:r>
      <w:proofErr w:type="spellEnd"/>
      <w:r w:rsidRPr="00243910">
        <w:rPr>
          <w:rFonts w:ascii="High Tower Text" w:eastAsia="Arial" w:hAnsi="High Tower Text" w:cs="Arial"/>
        </w:rPr>
        <w:t xml:space="preserve"> de </w:t>
      </w:r>
      <w:proofErr w:type="spellStart"/>
      <w:r w:rsidRPr="00243910">
        <w:rPr>
          <w:rFonts w:ascii="High Tower Text" w:eastAsia="Arial" w:hAnsi="High Tower Text" w:cs="Arial"/>
        </w:rPr>
        <w:t>salud</w:t>
      </w:r>
      <w:proofErr w:type="spellEnd"/>
      <w:r w:rsidRPr="00243910">
        <w:rPr>
          <w:rFonts w:ascii="High Tower Text" w:eastAsia="Arial" w:hAnsi="High Tower Text" w:cs="Arial"/>
        </w:rPr>
        <w:t xml:space="preserve"> pública, </w:t>
      </w:r>
      <w:proofErr w:type="spellStart"/>
      <w:r w:rsidRPr="00243910">
        <w:rPr>
          <w:rFonts w:ascii="High Tower Text" w:eastAsia="Arial" w:hAnsi="High Tower Text" w:cs="Arial"/>
        </w:rPr>
        <w:t>discutiendo</w:t>
      </w:r>
      <w:proofErr w:type="spellEnd"/>
      <w:r w:rsidRPr="00243910">
        <w:rPr>
          <w:rFonts w:ascii="High Tower Text" w:eastAsia="Arial" w:hAnsi="High Tower Text" w:cs="Arial"/>
        </w:rPr>
        <w:t xml:space="preserve"> </w:t>
      </w:r>
      <w:proofErr w:type="spellStart"/>
      <w:r w:rsidRPr="00243910">
        <w:rPr>
          <w:rFonts w:ascii="High Tower Text" w:eastAsia="Arial" w:hAnsi="High Tower Text" w:cs="Arial"/>
        </w:rPr>
        <w:t>los</w:t>
      </w:r>
      <w:proofErr w:type="spellEnd"/>
      <w:r w:rsidRPr="00243910">
        <w:rPr>
          <w:rFonts w:ascii="High Tower Text" w:eastAsia="Arial" w:hAnsi="High Tower Text" w:cs="Arial"/>
        </w:rPr>
        <w:t xml:space="preserve"> </w:t>
      </w:r>
      <w:proofErr w:type="spellStart"/>
      <w:r w:rsidRPr="00243910">
        <w:rPr>
          <w:rFonts w:ascii="High Tower Text" w:eastAsia="Arial" w:hAnsi="High Tower Text" w:cs="Arial"/>
        </w:rPr>
        <w:t>desafíos</w:t>
      </w:r>
      <w:proofErr w:type="spellEnd"/>
      <w:r w:rsidRPr="00243910">
        <w:rPr>
          <w:rFonts w:ascii="High Tower Text" w:eastAsia="Arial" w:hAnsi="High Tower Text" w:cs="Arial"/>
        </w:rPr>
        <w:t xml:space="preserve"> para </w:t>
      </w:r>
      <w:proofErr w:type="spellStart"/>
      <w:r w:rsidRPr="00243910">
        <w:rPr>
          <w:rFonts w:ascii="High Tower Text" w:eastAsia="Arial" w:hAnsi="High Tower Text" w:cs="Arial"/>
        </w:rPr>
        <w:t>la</w:t>
      </w:r>
      <w:proofErr w:type="spellEnd"/>
      <w:r w:rsidRPr="00243910">
        <w:rPr>
          <w:rFonts w:ascii="High Tower Text" w:eastAsia="Arial" w:hAnsi="High Tower Text" w:cs="Arial"/>
        </w:rPr>
        <w:t xml:space="preserve"> </w:t>
      </w:r>
      <w:proofErr w:type="spellStart"/>
      <w:r w:rsidRPr="00243910">
        <w:rPr>
          <w:rFonts w:ascii="High Tower Text" w:eastAsia="Arial" w:hAnsi="High Tower Text" w:cs="Arial"/>
        </w:rPr>
        <w:t>gobernanza</w:t>
      </w:r>
      <w:proofErr w:type="spellEnd"/>
      <w:r w:rsidRPr="00243910">
        <w:rPr>
          <w:rFonts w:ascii="High Tower Text" w:eastAsia="Arial" w:hAnsi="High Tower Text" w:cs="Arial"/>
        </w:rPr>
        <w:t xml:space="preserve"> </w:t>
      </w:r>
      <w:proofErr w:type="spellStart"/>
      <w:r w:rsidRPr="00243910">
        <w:rPr>
          <w:rFonts w:ascii="High Tower Text" w:eastAsia="Arial" w:hAnsi="High Tower Text" w:cs="Arial"/>
        </w:rPr>
        <w:t>sanitaria</w:t>
      </w:r>
      <w:proofErr w:type="spellEnd"/>
      <w:r w:rsidRPr="00243910">
        <w:rPr>
          <w:rFonts w:ascii="High Tower Text" w:eastAsia="Arial" w:hAnsi="High Tower Text" w:cs="Arial"/>
        </w:rPr>
        <w:t xml:space="preserve"> y </w:t>
      </w:r>
      <w:proofErr w:type="spellStart"/>
      <w:r w:rsidRPr="00243910">
        <w:rPr>
          <w:rFonts w:ascii="High Tower Text" w:eastAsia="Arial" w:hAnsi="High Tower Text" w:cs="Arial"/>
        </w:rPr>
        <w:t>la</w:t>
      </w:r>
      <w:proofErr w:type="spellEnd"/>
      <w:r w:rsidRPr="00243910">
        <w:rPr>
          <w:rFonts w:ascii="High Tower Text" w:eastAsia="Arial" w:hAnsi="High Tower Text" w:cs="Arial"/>
        </w:rPr>
        <w:t xml:space="preserve"> </w:t>
      </w:r>
      <w:proofErr w:type="spellStart"/>
      <w:r w:rsidRPr="00243910">
        <w:rPr>
          <w:rFonts w:ascii="High Tower Text" w:eastAsia="Arial" w:hAnsi="High Tower Text" w:cs="Arial"/>
        </w:rPr>
        <w:t>organización</w:t>
      </w:r>
      <w:proofErr w:type="spellEnd"/>
      <w:r w:rsidRPr="00243910">
        <w:rPr>
          <w:rFonts w:ascii="High Tower Text" w:eastAsia="Arial" w:hAnsi="High Tower Text" w:cs="Arial"/>
        </w:rPr>
        <w:t xml:space="preserve"> de </w:t>
      </w:r>
      <w:proofErr w:type="spellStart"/>
      <w:r w:rsidRPr="00243910">
        <w:rPr>
          <w:rFonts w:ascii="High Tower Text" w:eastAsia="Arial" w:hAnsi="High Tower Text" w:cs="Arial"/>
        </w:rPr>
        <w:t>la</w:t>
      </w:r>
      <w:proofErr w:type="spellEnd"/>
      <w:r w:rsidRPr="00243910">
        <w:rPr>
          <w:rFonts w:ascii="High Tower Text" w:eastAsia="Arial" w:hAnsi="High Tower Text" w:cs="Arial"/>
        </w:rPr>
        <w:t xml:space="preserve"> </w:t>
      </w:r>
      <w:proofErr w:type="spellStart"/>
      <w:r w:rsidRPr="00243910">
        <w:rPr>
          <w:rFonts w:ascii="High Tower Text" w:eastAsia="Arial" w:hAnsi="High Tower Text" w:cs="Arial"/>
        </w:rPr>
        <w:t>respuesta</w:t>
      </w:r>
      <w:proofErr w:type="spellEnd"/>
      <w:r w:rsidRPr="00243910">
        <w:rPr>
          <w:rFonts w:ascii="High Tower Text" w:eastAsia="Arial" w:hAnsi="High Tower Text" w:cs="Arial"/>
        </w:rPr>
        <w:t xml:space="preserve"> </w:t>
      </w:r>
      <w:proofErr w:type="spellStart"/>
      <w:r w:rsidRPr="00243910">
        <w:rPr>
          <w:rFonts w:ascii="High Tower Text" w:eastAsia="Arial" w:hAnsi="High Tower Text" w:cs="Arial"/>
        </w:rPr>
        <w:t>del</w:t>
      </w:r>
      <w:proofErr w:type="spellEnd"/>
      <w:r w:rsidRPr="00243910">
        <w:rPr>
          <w:rFonts w:ascii="High Tower Text" w:eastAsia="Arial" w:hAnsi="High Tower Text" w:cs="Arial"/>
        </w:rPr>
        <w:t xml:space="preserve"> sistema de </w:t>
      </w:r>
      <w:proofErr w:type="spellStart"/>
      <w:r w:rsidRPr="00243910">
        <w:rPr>
          <w:rFonts w:ascii="High Tower Text" w:eastAsia="Arial" w:hAnsi="High Tower Text" w:cs="Arial"/>
        </w:rPr>
        <w:t>salud</w:t>
      </w:r>
      <w:proofErr w:type="spellEnd"/>
      <w:r w:rsidRPr="00243910">
        <w:rPr>
          <w:rFonts w:ascii="High Tower Text" w:eastAsia="Arial" w:hAnsi="High Tower Text" w:cs="Arial"/>
        </w:rPr>
        <w:t xml:space="preserve"> a </w:t>
      </w:r>
      <w:proofErr w:type="spellStart"/>
      <w:r w:rsidRPr="00243910">
        <w:rPr>
          <w:rFonts w:ascii="High Tower Text" w:eastAsia="Arial" w:hAnsi="High Tower Text" w:cs="Arial"/>
        </w:rPr>
        <w:t>nivel</w:t>
      </w:r>
      <w:proofErr w:type="spellEnd"/>
      <w:r w:rsidRPr="00243910">
        <w:rPr>
          <w:rFonts w:ascii="High Tower Text" w:eastAsia="Arial" w:hAnsi="High Tower Text" w:cs="Arial"/>
        </w:rPr>
        <w:t xml:space="preserve"> nacional. Se </w:t>
      </w:r>
      <w:proofErr w:type="spellStart"/>
      <w:r w:rsidRPr="00243910">
        <w:rPr>
          <w:rFonts w:ascii="High Tower Text" w:eastAsia="Arial" w:hAnsi="High Tower Text" w:cs="Arial"/>
        </w:rPr>
        <w:t>realizó</w:t>
      </w:r>
      <w:proofErr w:type="spellEnd"/>
      <w:r w:rsidRPr="00243910">
        <w:rPr>
          <w:rFonts w:ascii="High Tower Text" w:eastAsia="Arial" w:hAnsi="High Tower Text" w:cs="Arial"/>
        </w:rPr>
        <w:t xml:space="preserve"> una </w:t>
      </w:r>
      <w:proofErr w:type="spellStart"/>
      <w:r w:rsidRPr="00243910">
        <w:rPr>
          <w:rFonts w:ascii="High Tower Text" w:eastAsia="Arial" w:hAnsi="High Tower Text" w:cs="Arial"/>
        </w:rPr>
        <w:t>revisión</w:t>
      </w:r>
      <w:proofErr w:type="spellEnd"/>
      <w:r w:rsidRPr="00243910">
        <w:rPr>
          <w:rFonts w:ascii="High Tower Text" w:eastAsia="Arial" w:hAnsi="High Tower Text" w:cs="Arial"/>
        </w:rPr>
        <w:t xml:space="preserve"> narrativa y </w:t>
      </w:r>
      <w:proofErr w:type="spellStart"/>
      <w:r w:rsidRPr="00243910">
        <w:rPr>
          <w:rFonts w:ascii="High Tower Text" w:eastAsia="Arial" w:hAnsi="High Tower Text" w:cs="Arial"/>
        </w:rPr>
        <w:t>análisis</w:t>
      </w:r>
      <w:proofErr w:type="spellEnd"/>
      <w:r w:rsidRPr="00243910">
        <w:rPr>
          <w:rFonts w:ascii="High Tower Text" w:eastAsia="Arial" w:hAnsi="High Tower Text" w:cs="Arial"/>
        </w:rPr>
        <w:t xml:space="preserve"> documental de </w:t>
      </w:r>
      <w:proofErr w:type="spellStart"/>
      <w:r w:rsidRPr="00243910">
        <w:rPr>
          <w:rFonts w:ascii="High Tower Text" w:eastAsia="Arial" w:hAnsi="High Tower Text" w:cs="Arial"/>
        </w:rPr>
        <w:t>publicaciones</w:t>
      </w:r>
      <w:proofErr w:type="spellEnd"/>
      <w:r w:rsidRPr="00243910">
        <w:rPr>
          <w:rFonts w:ascii="High Tower Text" w:eastAsia="Arial" w:hAnsi="High Tower Text" w:cs="Arial"/>
        </w:rPr>
        <w:t xml:space="preserve"> científicas e instrumentos normativos </w:t>
      </w:r>
      <w:proofErr w:type="spellStart"/>
      <w:r w:rsidRPr="00243910">
        <w:rPr>
          <w:rFonts w:ascii="High Tower Text" w:eastAsia="Arial" w:hAnsi="High Tower Text" w:cs="Arial"/>
        </w:rPr>
        <w:t>nacionales</w:t>
      </w:r>
      <w:proofErr w:type="spellEnd"/>
      <w:r w:rsidRPr="00243910">
        <w:rPr>
          <w:rFonts w:ascii="High Tower Text" w:eastAsia="Arial" w:hAnsi="High Tower Text" w:cs="Arial"/>
        </w:rPr>
        <w:t xml:space="preserve"> e </w:t>
      </w:r>
      <w:proofErr w:type="spellStart"/>
      <w:r w:rsidRPr="00243910">
        <w:rPr>
          <w:rFonts w:ascii="High Tower Text" w:eastAsia="Arial" w:hAnsi="High Tower Text" w:cs="Arial"/>
        </w:rPr>
        <w:t>internacionales</w:t>
      </w:r>
      <w:proofErr w:type="spellEnd"/>
      <w:r w:rsidRPr="00243910">
        <w:rPr>
          <w:rFonts w:ascii="High Tower Text" w:eastAsia="Arial" w:hAnsi="High Tower Text" w:cs="Arial"/>
        </w:rPr>
        <w:t xml:space="preserve">. Los resultados </w:t>
      </w:r>
      <w:proofErr w:type="spellStart"/>
      <w:r w:rsidRPr="00243910">
        <w:rPr>
          <w:rFonts w:ascii="High Tower Text" w:eastAsia="Arial" w:hAnsi="High Tower Text" w:cs="Arial"/>
        </w:rPr>
        <w:t>evidenciaron</w:t>
      </w:r>
      <w:proofErr w:type="spellEnd"/>
      <w:r w:rsidRPr="00243910">
        <w:rPr>
          <w:rFonts w:ascii="High Tower Text" w:eastAsia="Arial" w:hAnsi="High Tower Text" w:cs="Arial"/>
        </w:rPr>
        <w:t xml:space="preserve"> rápida </w:t>
      </w:r>
      <w:proofErr w:type="spellStart"/>
      <w:r w:rsidRPr="00243910">
        <w:rPr>
          <w:rFonts w:ascii="High Tower Text" w:eastAsia="Arial" w:hAnsi="High Tower Text" w:cs="Arial"/>
        </w:rPr>
        <w:t>movilización</w:t>
      </w:r>
      <w:proofErr w:type="spellEnd"/>
      <w:r w:rsidRPr="00243910">
        <w:rPr>
          <w:rFonts w:ascii="High Tower Text" w:eastAsia="Arial" w:hAnsi="High Tower Text" w:cs="Arial"/>
        </w:rPr>
        <w:t xml:space="preserve"> institucional y </w:t>
      </w:r>
      <w:proofErr w:type="spellStart"/>
      <w:r w:rsidRPr="00243910">
        <w:rPr>
          <w:rFonts w:ascii="High Tower Text" w:eastAsia="Arial" w:hAnsi="High Tower Text" w:cs="Arial"/>
        </w:rPr>
        <w:t>alineación</w:t>
      </w:r>
      <w:proofErr w:type="spellEnd"/>
      <w:r w:rsidRPr="00243910">
        <w:rPr>
          <w:rFonts w:ascii="High Tower Text" w:eastAsia="Arial" w:hAnsi="High Tower Text" w:cs="Arial"/>
        </w:rPr>
        <w:t xml:space="preserve"> </w:t>
      </w:r>
      <w:proofErr w:type="spellStart"/>
      <w:r w:rsidRPr="00243910">
        <w:rPr>
          <w:rFonts w:ascii="High Tower Text" w:eastAsia="Arial" w:hAnsi="High Tower Text" w:cs="Arial"/>
        </w:rPr>
        <w:t>con</w:t>
      </w:r>
      <w:proofErr w:type="spellEnd"/>
      <w:r w:rsidRPr="00243910">
        <w:rPr>
          <w:rFonts w:ascii="High Tower Text" w:eastAsia="Arial" w:hAnsi="High Tower Text" w:cs="Arial"/>
        </w:rPr>
        <w:t xml:space="preserve"> </w:t>
      </w:r>
      <w:proofErr w:type="spellStart"/>
      <w:r w:rsidRPr="00243910">
        <w:rPr>
          <w:rFonts w:ascii="High Tower Text" w:eastAsia="Arial" w:hAnsi="High Tower Text" w:cs="Arial"/>
        </w:rPr>
        <w:t>las</w:t>
      </w:r>
      <w:proofErr w:type="spellEnd"/>
      <w:r w:rsidRPr="00243910">
        <w:rPr>
          <w:rFonts w:ascii="High Tower Text" w:eastAsia="Arial" w:hAnsi="High Tower Text" w:cs="Arial"/>
        </w:rPr>
        <w:t xml:space="preserve"> </w:t>
      </w:r>
      <w:proofErr w:type="spellStart"/>
      <w:r w:rsidRPr="00243910">
        <w:rPr>
          <w:rFonts w:ascii="High Tower Text" w:eastAsia="Arial" w:hAnsi="High Tower Text" w:cs="Arial"/>
        </w:rPr>
        <w:t>recomendaciones</w:t>
      </w:r>
      <w:proofErr w:type="spellEnd"/>
      <w:r w:rsidRPr="00243910">
        <w:rPr>
          <w:rFonts w:ascii="High Tower Text" w:eastAsia="Arial" w:hAnsi="High Tower Text" w:cs="Arial"/>
        </w:rPr>
        <w:t xml:space="preserve"> de </w:t>
      </w:r>
      <w:proofErr w:type="spellStart"/>
      <w:r w:rsidRPr="00243910">
        <w:rPr>
          <w:rFonts w:ascii="High Tower Text" w:eastAsia="Arial" w:hAnsi="High Tower Text" w:cs="Arial"/>
        </w:rPr>
        <w:t>la</w:t>
      </w:r>
      <w:proofErr w:type="spellEnd"/>
      <w:r w:rsidRPr="00243910">
        <w:rPr>
          <w:rFonts w:ascii="High Tower Text" w:eastAsia="Arial" w:hAnsi="High Tower Text" w:cs="Arial"/>
        </w:rPr>
        <w:t xml:space="preserve"> Organização Pan-Americana da Saúde, </w:t>
      </w:r>
      <w:proofErr w:type="spellStart"/>
      <w:r w:rsidRPr="00243910">
        <w:rPr>
          <w:rFonts w:ascii="High Tower Text" w:eastAsia="Arial" w:hAnsi="High Tower Text" w:cs="Arial"/>
        </w:rPr>
        <w:t>aunque</w:t>
      </w:r>
      <w:proofErr w:type="spellEnd"/>
      <w:r w:rsidRPr="00243910">
        <w:rPr>
          <w:rFonts w:ascii="High Tower Text" w:eastAsia="Arial" w:hAnsi="High Tower Text" w:cs="Arial"/>
        </w:rPr>
        <w:t xml:space="preserve"> </w:t>
      </w:r>
      <w:proofErr w:type="spellStart"/>
      <w:r w:rsidRPr="00243910">
        <w:rPr>
          <w:rFonts w:ascii="High Tower Text" w:eastAsia="Arial" w:hAnsi="High Tower Text" w:cs="Arial"/>
        </w:rPr>
        <w:t>acompañadas</w:t>
      </w:r>
      <w:proofErr w:type="spellEnd"/>
      <w:r w:rsidRPr="00243910">
        <w:rPr>
          <w:rFonts w:ascii="High Tower Text" w:eastAsia="Arial" w:hAnsi="High Tower Text" w:cs="Arial"/>
        </w:rPr>
        <w:t xml:space="preserve"> de </w:t>
      </w:r>
      <w:proofErr w:type="spellStart"/>
      <w:r w:rsidRPr="00243910">
        <w:rPr>
          <w:rFonts w:ascii="High Tower Text" w:eastAsia="Arial" w:hAnsi="High Tower Text" w:cs="Arial"/>
        </w:rPr>
        <w:t>desafíos</w:t>
      </w:r>
      <w:proofErr w:type="spellEnd"/>
      <w:r w:rsidRPr="00243910">
        <w:rPr>
          <w:rFonts w:ascii="High Tower Text" w:eastAsia="Arial" w:hAnsi="High Tower Text" w:cs="Arial"/>
        </w:rPr>
        <w:t xml:space="preserve"> </w:t>
      </w:r>
      <w:proofErr w:type="spellStart"/>
      <w:r w:rsidRPr="00243910">
        <w:rPr>
          <w:rFonts w:ascii="High Tower Text" w:eastAsia="Arial" w:hAnsi="High Tower Text" w:cs="Arial"/>
        </w:rPr>
        <w:t>estructurales</w:t>
      </w:r>
      <w:proofErr w:type="spellEnd"/>
      <w:r w:rsidRPr="00243910">
        <w:rPr>
          <w:rFonts w:ascii="High Tower Text" w:eastAsia="Arial" w:hAnsi="High Tower Text" w:cs="Arial"/>
        </w:rPr>
        <w:t xml:space="preserve"> relacionados </w:t>
      </w:r>
      <w:proofErr w:type="spellStart"/>
      <w:r w:rsidRPr="00243910">
        <w:rPr>
          <w:rFonts w:ascii="High Tower Text" w:eastAsia="Arial" w:hAnsi="High Tower Text" w:cs="Arial"/>
        </w:rPr>
        <w:t>con</w:t>
      </w:r>
      <w:proofErr w:type="spellEnd"/>
      <w:r w:rsidRPr="00243910">
        <w:rPr>
          <w:rFonts w:ascii="High Tower Text" w:eastAsia="Arial" w:hAnsi="High Tower Text" w:cs="Arial"/>
        </w:rPr>
        <w:t xml:space="preserve"> </w:t>
      </w:r>
      <w:proofErr w:type="spellStart"/>
      <w:r w:rsidRPr="00243910">
        <w:rPr>
          <w:rFonts w:ascii="High Tower Text" w:eastAsia="Arial" w:hAnsi="High Tower Text" w:cs="Arial"/>
        </w:rPr>
        <w:t>la</w:t>
      </w:r>
      <w:proofErr w:type="spellEnd"/>
      <w:r w:rsidRPr="00243910">
        <w:rPr>
          <w:rFonts w:ascii="High Tower Text" w:eastAsia="Arial" w:hAnsi="High Tower Text" w:cs="Arial"/>
        </w:rPr>
        <w:t xml:space="preserve"> </w:t>
      </w:r>
      <w:proofErr w:type="spellStart"/>
      <w:r w:rsidRPr="00243910">
        <w:rPr>
          <w:rFonts w:ascii="High Tower Text" w:eastAsia="Arial" w:hAnsi="High Tower Text" w:cs="Arial"/>
        </w:rPr>
        <w:t>capacidad</w:t>
      </w:r>
      <w:proofErr w:type="spellEnd"/>
      <w:r w:rsidRPr="00243910">
        <w:rPr>
          <w:rFonts w:ascii="High Tower Text" w:eastAsia="Arial" w:hAnsi="High Tower Text" w:cs="Arial"/>
        </w:rPr>
        <w:t xml:space="preserve"> diagnóstica, </w:t>
      </w:r>
      <w:proofErr w:type="spellStart"/>
      <w:r w:rsidRPr="00243910">
        <w:rPr>
          <w:rFonts w:ascii="High Tower Text" w:eastAsia="Arial" w:hAnsi="High Tower Text" w:cs="Arial"/>
        </w:rPr>
        <w:t>la</w:t>
      </w:r>
      <w:proofErr w:type="spellEnd"/>
      <w:r w:rsidRPr="00243910">
        <w:rPr>
          <w:rFonts w:ascii="High Tower Text" w:eastAsia="Arial" w:hAnsi="High Tower Text" w:cs="Arial"/>
        </w:rPr>
        <w:t xml:space="preserve"> </w:t>
      </w:r>
      <w:proofErr w:type="spellStart"/>
      <w:r w:rsidRPr="00243910">
        <w:rPr>
          <w:rFonts w:ascii="High Tower Text" w:eastAsia="Arial" w:hAnsi="High Tower Text" w:cs="Arial"/>
        </w:rPr>
        <w:t>coordinación</w:t>
      </w:r>
      <w:proofErr w:type="spellEnd"/>
      <w:r w:rsidRPr="00243910">
        <w:rPr>
          <w:rFonts w:ascii="High Tower Text" w:eastAsia="Arial" w:hAnsi="High Tower Text" w:cs="Arial"/>
        </w:rPr>
        <w:t xml:space="preserve"> federativa, </w:t>
      </w:r>
      <w:proofErr w:type="spellStart"/>
      <w:r w:rsidRPr="00243910">
        <w:rPr>
          <w:rFonts w:ascii="High Tower Text" w:eastAsia="Arial" w:hAnsi="High Tower Text" w:cs="Arial"/>
        </w:rPr>
        <w:t>la</w:t>
      </w:r>
      <w:proofErr w:type="spellEnd"/>
      <w:r w:rsidRPr="00243910">
        <w:rPr>
          <w:rFonts w:ascii="High Tower Text" w:eastAsia="Arial" w:hAnsi="High Tower Text" w:cs="Arial"/>
        </w:rPr>
        <w:t xml:space="preserve"> </w:t>
      </w:r>
      <w:proofErr w:type="spellStart"/>
      <w:r w:rsidRPr="00243910">
        <w:rPr>
          <w:rFonts w:ascii="High Tower Text" w:eastAsia="Arial" w:hAnsi="High Tower Text" w:cs="Arial"/>
        </w:rPr>
        <w:t>comunicación</w:t>
      </w:r>
      <w:proofErr w:type="spellEnd"/>
      <w:r w:rsidRPr="00243910">
        <w:rPr>
          <w:rFonts w:ascii="High Tower Text" w:eastAsia="Arial" w:hAnsi="High Tower Text" w:cs="Arial"/>
        </w:rPr>
        <w:t xml:space="preserve"> de </w:t>
      </w:r>
      <w:proofErr w:type="spellStart"/>
      <w:r w:rsidRPr="00243910">
        <w:rPr>
          <w:rFonts w:ascii="High Tower Text" w:eastAsia="Arial" w:hAnsi="High Tower Text" w:cs="Arial"/>
        </w:rPr>
        <w:t>riesgos</w:t>
      </w:r>
      <w:proofErr w:type="spellEnd"/>
      <w:r w:rsidRPr="00243910">
        <w:rPr>
          <w:rFonts w:ascii="High Tower Text" w:eastAsia="Arial" w:hAnsi="High Tower Text" w:cs="Arial"/>
        </w:rPr>
        <w:t xml:space="preserve"> y </w:t>
      </w:r>
      <w:proofErr w:type="spellStart"/>
      <w:r w:rsidRPr="00243910">
        <w:rPr>
          <w:rFonts w:ascii="High Tower Text" w:eastAsia="Arial" w:hAnsi="High Tower Text" w:cs="Arial"/>
        </w:rPr>
        <w:t>las</w:t>
      </w:r>
      <w:proofErr w:type="spellEnd"/>
      <w:r w:rsidRPr="00243910">
        <w:rPr>
          <w:rFonts w:ascii="High Tower Text" w:eastAsia="Arial" w:hAnsi="High Tower Text" w:cs="Arial"/>
        </w:rPr>
        <w:t xml:space="preserve"> desigualdades </w:t>
      </w:r>
      <w:proofErr w:type="spellStart"/>
      <w:r w:rsidRPr="00243910">
        <w:rPr>
          <w:rFonts w:ascii="High Tower Text" w:eastAsia="Arial" w:hAnsi="High Tower Text" w:cs="Arial"/>
        </w:rPr>
        <w:t>regionales</w:t>
      </w:r>
      <w:proofErr w:type="spellEnd"/>
      <w:r w:rsidRPr="00243910">
        <w:rPr>
          <w:rFonts w:ascii="High Tower Text" w:eastAsia="Arial" w:hAnsi="High Tower Text" w:cs="Arial"/>
        </w:rPr>
        <w:t xml:space="preserve">. Se </w:t>
      </w:r>
      <w:proofErr w:type="spellStart"/>
      <w:r w:rsidRPr="00243910">
        <w:rPr>
          <w:rFonts w:ascii="High Tower Text" w:eastAsia="Arial" w:hAnsi="High Tower Text" w:cs="Arial"/>
        </w:rPr>
        <w:t>concluye</w:t>
      </w:r>
      <w:proofErr w:type="spellEnd"/>
      <w:r w:rsidRPr="00243910">
        <w:rPr>
          <w:rFonts w:ascii="High Tower Text" w:eastAsia="Arial" w:hAnsi="High Tower Text" w:cs="Arial"/>
        </w:rPr>
        <w:t xml:space="preserve"> que </w:t>
      </w:r>
      <w:proofErr w:type="spellStart"/>
      <w:r w:rsidRPr="00243910">
        <w:rPr>
          <w:rFonts w:ascii="High Tower Text" w:eastAsia="Arial" w:hAnsi="High Tower Text" w:cs="Arial"/>
        </w:rPr>
        <w:t>el</w:t>
      </w:r>
      <w:proofErr w:type="spellEnd"/>
      <w:r w:rsidRPr="00243910">
        <w:rPr>
          <w:rFonts w:ascii="High Tower Text" w:eastAsia="Arial" w:hAnsi="High Tower Text" w:cs="Arial"/>
        </w:rPr>
        <w:t xml:space="preserve"> </w:t>
      </w:r>
      <w:proofErr w:type="spellStart"/>
      <w:r w:rsidRPr="00243910">
        <w:rPr>
          <w:rFonts w:ascii="High Tower Text" w:eastAsia="Arial" w:hAnsi="High Tower Text" w:cs="Arial"/>
        </w:rPr>
        <w:t>fortalecimiento</w:t>
      </w:r>
      <w:proofErr w:type="spellEnd"/>
      <w:r w:rsidRPr="00243910">
        <w:rPr>
          <w:rFonts w:ascii="High Tower Text" w:eastAsia="Arial" w:hAnsi="High Tower Text" w:cs="Arial"/>
        </w:rPr>
        <w:t xml:space="preserve"> de </w:t>
      </w:r>
      <w:proofErr w:type="spellStart"/>
      <w:r w:rsidRPr="00243910">
        <w:rPr>
          <w:rFonts w:ascii="High Tower Text" w:eastAsia="Arial" w:hAnsi="High Tower Text" w:cs="Arial"/>
        </w:rPr>
        <w:t>la</w:t>
      </w:r>
      <w:proofErr w:type="spellEnd"/>
      <w:r w:rsidRPr="00243910">
        <w:rPr>
          <w:rFonts w:ascii="High Tower Text" w:eastAsia="Arial" w:hAnsi="High Tower Text" w:cs="Arial"/>
        </w:rPr>
        <w:t xml:space="preserve"> </w:t>
      </w:r>
      <w:proofErr w:type="spellStart"/>
      <w:r w:rsidRPr="00243910">
        <w:rPr>
          <w:rFonts w:ascii="High Tower Text" w:eastAsia="Arial" w:hAnsi="High Tower Text" w:cs="Arial"/>
        </w:rPr>
        <w:t>vigilancia</w:t>
      </w:r>
      <w:proofErr w:type="spellEnd"/>
      <w:r w:rsidRPr="00243910">
        <w:rPr>
          <w:rFonts w:ascii="High Tower Text" w:eastAsia="Arial" w:hAnsi="High Tower Text" w:cs="Arial"/>
        </w:rPr>
        <w:t xml:space="preserve"> epidemiológica, </w:t>
      </w:r>
      <w:proofErr w:type="spellStart"/>
      <w:r w:rsidRPr="00243910">
        <w:rPr>
          <w:rFonts w:ascii="High Tower Text" w:eastAsia="Arial" w:hAnsi="High Tower Text" w:cs="Arial"/>
        </w:rPr>
        <w:t>la</w:t>
      </w:r>
      <w:proofErr w:type="spellEnd"/>
      <w:r w:rsidRPr="00243910">
        <w:rPr>
          <w:rFonts w:ascii="High Tower Text" w:eastAsia="Arial" w:hAnsi="High Tower Text" w:cs="Arial"/>
        </w:rPr>
        <w:t xml:space="preserve"> </w:t>
      </w:r>
      <w:proofErr w:type="spellStart"/>
      <w:r w:rsidRPr="00243910">
        <w:rPr>
          <w:rFonts w:ascii="High Tower Text" w:eastAsia="Arial" w:hAnsi="High Tower Text" w:cs="Arial"/>
        </w:rPr>
        <w:t>infraestructura</w:t>
      </w:r>
      <w:proofErr w:type="spellEnd"/>
      <w:r w:rsidRPr="00243910">
        <w:rPr>
          <w:rFonts w:ascii="High Tower Text" w:eastAsia="Arial" w:hAnsi="High Tower Text" w:cs="Arial"/>
        </w:rPr>
        <w:t xml:space="preserve"> de </w:t>
      </w:r>
      <w:proofErr w:type="spellStart"/>
      <w:r w:rsidRPr="00243910">
        <w:rPr>
          <w:rFonts w:ascii="High Tower Text" w:eastAsia="Arial" w:hAnsi="High Tower Text" w:cs="Arial"/>
        </w:rPr>
        <w:t>laboratorio</w:t>
      </w:r>
      <w:proofErr w:type="spellEnd"/>
      <w:r w:rsidRPr="00243910">
        <w:rPr>
          <w:rFonts w:ascii="High Tower Text" w:eastAsia="Arial" w:hAnsi="High Tower Text" w:cs="Arial"/>
        </w:rPr>
        <w:t xml:space="preserve"> y </w:t>
      </w:r>
      <w:proofErr w:type="spellStart"/>
      <w:r w:rsidRPr="00243910">
        <w:rPr>
          <w:rFonts w:ascii="High Tower Text" w:eastAsia="Arial" w:hAnsi="High Tower Text" w:cs="Arial"/>
        </w:rPr>
        <w:t>la</w:t>
      </w:r>
      <w:proofErr w:type="spellEnd"/>
      <w:r w:rsidRPr="00243910">
        <w:rPr>
          <w:rFonts w:ascii="High Tower Text" w:eastAsia="Arial" w:hAnsi="High Tower Text" w:cs="Arial"/>
        </w:rPr>
        <w:t xml:space="preserve"> </w:t>
      </w:r>
      <w:proofErr w:type="spellStart"/>
      <w:r w:rsidRPr="00243910">
        <w:rPr>
          <w:rFonts w:ascii="High Tower Text" w:eastAsia="Arial" w:hAnsi="High Tower Text" w:cs="Arial"/>
        </w:rPr>
        <w:t>gobernanza</w:t>
      </w:r>
      <w:proofErr w:type="spellEnd"/>
      <w:r w:rsidRPr="00243910">
        <w:rPr>
          <w:rFonts w:ascii="High Tower Text" w:eastAsia="Arial" w:hAnsi="High Tower Text" w:cs="Arial"/>
        </w:rPr>
        <w:t xml:space="preserve"> </w:t>
      </w:r>
      <w:proofErr w:type="spellStart"/>
      <w:r w:rsidRPr="00243910">
        <w:rPr>
          <w:rFonts w:ascii="High Tower Text" w:eastAsia="Arial" w:hAnsi="High Tower Text" w:cs="Arial"/>
        </w:rPr>
        <w:t>intersectorial</w:t>
      </w:r>
      <w:proofErr w:type="spellEnd"/>
      <w:r w:rsidRPr="00243910">
        <w:rPr>
          <w:rFonts w:ascii="High Tower Text" w:eastAsia="Arial" w:hAnsi="High Tower Text" w:cs="Arial"/>
        </w:rPr>
        <w:t xml:space="preserve"> es fundamental para aumentar </w:t>
      </w:r>
      <w:proofErr w:type="spellStart"/>
      <w:r w:rsidRPr="00243910">
        <w:rPr>
          <w:rFonts w:ascii="High Tower Text" w:eastAsia="Arial" w:hAnsi="High Tower Text" w:cs="Arial"/>
        </w:rPr>
        <w:t>la</w:t>
      </w:r>
      <w:proofErr w:type="spellEnd"/>
      <w:r w:rsidRPr="00243910">
        <w:rPr>
          <w:rFonts w:ascii="High Tower Text" w:eastAsia="Arial" w:hAnsi="High Tower Text" w:cs="Arial"/>
        </w:rPr>
        <w:t xml:space="preserve"> </w:t>
      </w:r>
      <w:proofErr w:type="spellStart"/>
      <w:r w:rsidRPr="00243910">
        <w:rPr>
          <w:rFonts w:ascii="High Tower Text" w:eastAsia="Arial" w:hAnsi="High Tower Text" w:cs="Arial"/>
        </w:rPr>
        <w:t>resiliencia</w:t>
      </w:r>
      <w:proofErr w:type="spellEnd"/>
      <w:r w:rsidRPr="00243910">
        <w:rPr>
          <w:rFonts w:ascii="High Tower Text" w:eastAsia="Arial" w:hAnsi="High Tower Text" w:cs="Arial"/>
        </w:rPr>
        <w:t xml:space="preserve"> </w:t>
      </w:r>
      <w:proofErr w:type="spellStart"/>
      <w:r w:rsidRPr="00243910">
        <w:rPr>
          <w:rFonts w:ascii="High Tower Text" w:eastAsia="Arial" w:hAnsi="High Tower Text" w:cs="Arial"/>
        </w:rPr>
        <w:t>del</w:t>
      </w:r>
      <w:proofErr w:type="spellEnd"/>
      <w:r w:rsidRPr="00243910">
        <w:rPr>
          <w:rFonts w:ascii="High Tower Text" w:eastAsia="Arial" w:hAnsi="High Tower Text" w:cs="Arial"/>
        </w:rPr>
        <w:t xml:space="preserve"> sistema de </w:t>
      </w:r>
      <w:proofErr w:type="spellStart"/>
      <w:r w:rsidRPr="00243910">
        <w:rPr>
          <w:rFonts w:ascii="High Tower Text" w:eastAsia="Arial" w:hAnsi="High Tower Text" w:cs="Arial"/>
        </w:rPr>
        <w:t>salud</w:t>
      </w:r>
      <w:proofErr w:type="spellEnd"/>
      <w:r w:rsidRPr="00243910">
        <w:rPr>
          <w:rFonts w:ascii="High Tower Text" w:eastAsia="Arial" w:hAnsi="High Tower Text" w:cs="Arial"/>
        </w:rPr>
        <w:t xml:space="preserve"> frente a </w:t>
      </w:r>
      <w:proofErr w:type="spellStart"/>
      <w:r w:rsidRPr="00243910">
        <w:rPr>
          <w:rFonts w:ascii="High Tower Text" w:eastAsia="Arial" w:hAnsi="High Tower Text" w:cs="Arial"/>
        </w:rPr>
        <w:t>emergencias</w:t>
      </w:r>
      <w:proofErr w:type="spellEnd"/>
      <w:r w:rsidRPr="00243910">
        <w:rPr>
          <w:rFonts w:ascii="High Tower Text" w:eastAsia="Arial" w:hAnsi="High Tower Text" w:cs="Arial"/>
        </w:rPr>
        <w:t xml:space="preserve"> </w:t>
      </w:r>
      <w:proofErr w:type="spellStart"/>
      <w:r w:rsidRPr="00243910">
        <w:rPr>
          <w:rFonts w:ascii="High Tower Text" w:eastAsia="Arial" w:hAnsi="High Tower Text" w:cs="Arial"/>
        </w:rPr>
        <w:t>sanitarias</w:t>
      </w:r>
      <w:proofErr w:type="spellEnd"/>
      <w:r w:rsidRPr="00243910">
        <w:rPr>
          <w:rFonts w:ascii="High Tower Text" w:eastAsia="Arial" w:hAnsi="High Tower Text" w:cs="Arial"/>
        </w:rPr>
        <w:t xml:space="preserve"> </w:t>
      </w:r>
      <w:proofErr w:type="spellStart"/>
      <w:r w:rsidRPr="00243910">
        <w:rPr>
          <w:rFonts w:ascii="High Tower Text" w:eastAsia="Arial" w:hAnsi="High Tower Text" w:cs="Arial"/>
        </w:rPr>
        <w:t>actuales</w:t>
      </w:r>
      <w:proofErr w:type="spellEnd"/>
      <w:r w:rsidRPr="00243910">
        <w:rPr>
          <w:rFonts w:ascii="High Tower Text" w:eastAsia="Arial" w:hAnsi="High Tower Text" w:cs="Arial"/>
        </w:rPr>
        <w:t xml:space="preserve"> y futuras.</w:t>
      </w:r>
    </w:p>
    <w:p w14:paraId="2F6EF7D7" w14:textId="0444FF1B" w:rsidR="00243910" w:rsidRPr="00243910" w:rsidRDefault="00243910" w:rsidP="00243910">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rPr>
          <w:rFonts w:ascii="High Tower Text" w:eastAsia="Arial" w:hAnsi="High Tower Text" w:cs="Arial"/>
          <w:color w:val="212121"/>
        </w:rPr>
      </w:pPr>
      <w:proofErr w:type="spellStart"/>
      <w:r w:rsidRPr="00243910">
        <w:rPr>
          <w:rFonts w:ascii="High Tower Text" w:eastAsia="Arial" w:hAnsi="High Tower Text" w:cs="Arial"/>
          <w:b/>
          <w:bCs/>
          <w:color w:val="212121"/>
        </w:rPr>
        <w:t>Palabras</w:t>
      </w:r>
      <w:proofErr w:type="spellEnd"/>
      <w:r w:rsidRPr="00243910">
        <w:rPr>
          <w:rFonts w:ascii="High Tower Text" w:eastAsia="Arial" w:hAnsi="High Tower Text" w:cs="Arial"/>
          <w:b/>
          <w:bCs/>
          <w:color w:val="212121"/>
        </w:rPr>
        <w:t xml:space="preserve"> clave</w:t>
      </w:r>
      <w:r w:rsidRPr="00243910">
        <w:rPr>
          <w:rFonts w:ascii="High Tower Text" w:eastAsia="Arial" w:hAnsi="High Tower Text" w:cs="Arial"/>
          <w:b/>
          <w:bCs/>
          <w:color w:val="000000"/>
        </w:rPr>
        <w:t xml:space="preserve">: </w:t>
      </w:r>
      <w:proofErr w:type="spellStart"/>
      <w:r w:rsidRPr="00243910">
        <w:rPr>
          <w:rFonts w:ascii="High Tower Text" w:eastAsia="Arial" w:hAnsi="High Tower Text" w:cs="Arial"/>
          <w:color w:val="212121"/>
        </w:rPr>
        <w:t>Gobernanza</w:t>
      </w:r>
      <w:proofErr w:type="spellEnd"/>
      <w:r w:rsidRPr="00243910">
        <w:rPr>
          <w:rFonts w:ascii="High Tower Text" w:eastAsia="Arial" w:hAnsi="High Tower Text" w:cs="Arial"/>
          <w:color w:val="212121"/>
        </w:rPr>
        <w:t xml:space="preserve"> </w:t>
      </w:r>
      <w:r>
        <w:rPr>
          <w:rFonts w:ascii="High Tower Text" w:eastAsia="Arial" w:hAnsi="High Tower Text" w:cs="Arial"/>
          <w:color w:val="212121"/>
        </w:rPr>
        <w:t>sanitária.</w:t>
      </w:r>
      <w:r w:rsidRPr="00243910">
        <w:rPr>
          <w:rFonts w:ascii="High Tower Text" w:eastAsia="Arial" w:hAnsi="High Tower Text" w:cs="Arial"/>
          <w:color w:val="212121"/>
        </w:rPr>
        <w:t xml:space="preserve"> </w:t>
      </w:r>
      <w:proofErr w:type="spellStart"/>
      <w:r w:rsidRPr="00243910">
        <w:rPr>
          <w:rFonts w:ascii="High Tower Text" w:eastAsia="Arial" w:hAnsi="High Tower Text" w:cs="Arial"/>
          <w:color w:val="212121"/>
        </w:rPr>
        <w:t>Monkeypox</w:t>
      </w:r>
      <w:proofErr w:type="spellEnd"/>
      <w:r>
        <w:rPr>
          <w:rFonts w:ascii="High Tower Text" w:eastAsia="Arial" w:hAnsi="High Tower Text" w:cs="Arial"/>
          <w:color w:val="212121"/>
        </w:rPr>
        <w:t>.</w:t>
      </w:r>
      <w:r w:rsidRPr="00243910">
        <w:rPr>
          <w:rFonts w:ascii="High Tower Text" w:eastAsia="Arial" w:hAnsi="High Tower Text" w:cs="Arial"/>
          <w:color w:val="212121"/>
        </w:rPr>
        <w:t xml:space="preserve"> </w:t>
      </w:r>
      <w:proofErr w:type="spellStart"/>
      <w:r w:rsidRPr="00243910">
        <w:rPr>
          <w:rFonts w:ascii="High Tower Text" w:eastAsia="Arial" w:hAnsi="High Tower Text" w:cs="Arial"/>
          <w:color w:val="212121"/>
        </w:rPr>
        <w:t>Vigilancia</w:t>
      </w:r>
      <w:proofErr w:type="spellEnd"/>
      <w:r w:rsidRPr="00243910">
        <w:rPr>
          <w:rFonts w:ascii="High Tower Text" w:eastAsia="Arial" w:hAnsi="High Tower Text" w:cs="Arial"/>
          <w:color w:val="212121"/>
        </w:rPr>
        <w:t xml:space="preserve"> epidemiológica</w:t>
      </w:r>
      <w:r>
        <w:rPr>
          <w:rFonts w:ascii="High Tower Text" w:eastAsia="Arial" w:hAnsi="High Tower Text" w:cs="Arial"/>
          <w:color w:val="212121"/>
        </w:rPr>
        <w:t>.</w:t>
      </w:r>
    </w:p>
    <w:p w14:paraId="1B1339CF" w14:textId="77777777" w:rsidR="00243910" w:rsidRPr="00243910" w:rsidRDefault="00243910" w:rsidP="00243910">
      <w:pPr>
        <w:spacing w:before="100" w:beforeAutospacing="1" w:after="100" w:afterAutospacing="1"/>
        <w:rPr>
          <w:rFonts w:ascii="High Tower Text" w:eastAsia="Arial" w:hAnsi="High Tower Text" w:cs="Arial"/>
          <w:szCs w:val="24"/>
        </w:rPr>
      </w:pPr>
      <w:r w:rsidRPr="00243910">
        <w:rPr>
          <w:rFonts w:ascii="High Tower Text" w:eastAsia="Arial" w:hAnsi="High Tower Text" w:cs="Arial"/>
          <w:b/>
          <w:bCs/>
          <w:szCs w:val="24"/>
        </w:rPr>
        <w:t>INTRODUÇÃO</w:t>
      </w:r>
    </w:p>
    <w:p w14:paraId="4B9D7CE3" w14:textId="77777777" w:rsidR="00243910" w:rsidRPr="00243910" w:rsidRDefault="00243910" w:rsidP="00DD734F">
      <w:pPr>
        <w:spacing w:line="360" w:lineRule="auto"/>
        <w:ind w:firstLine="709"/>
        <w:rPr>
          <w:rFonts w:ascii="High Tower Text" w:eastAsia="Arial" w:hAnsi="High Tower Text" w:cs="Arial"/>
          <w:szCs w:val="24"/>
        </w:rPr>
      </w:pPr>
      <w:r w:rsidRPr="00243910">
        <w:rPr>
          <w:rFonts w:ascii="High Tower Text" w:eastAsia="Arial" w:hAnsi="High Tower Text" w:cs="Arial"/>
          <w:szCs w:val="24"/>
        </w:rPr>
        <w:t xml:space="preserve">A </w:t>
      </w:r>
      <w:proofErr w:type="spellStart"/>
      <w:r w:rsidRPr="00243910">
        <w:rPr>
          <w:rFonts w:ascii="High Tower Text" w:eastAsia="Arial" w:hAnsi="High Tower Text" w:cs="Arial"/>
          <w:szCs w:val="24"/>
        </w:rPr>
        <w:t>Monkeypox</w:t>
      </w:r>
      <w:proofErr w:type="spellEnd"/>
      <w:r w:rsidRPr="00243910">
        <w:rPr>
          <w:rFonts w:ascii="High Tower Text" w:eastAsia="Arial" w:hAnsi="High Tower Text" w:cs="Arial"/>
          <w:szCs w:val="24"/>
        </w:rPr>
        <w:t>, atualmente denominada M-</w:t>
      </w:r>
      <w:proofErr w:type="spellStart"/>
      <w:r w:rsidRPr="00243910">
        <w:rPr>
          <w:rFonts w:ascii="High Tower Text" w:eastAsia="Arial" w:hAnsi="High Tower Text" w:cs="Arial"/>
          <w:szCs w:val="24"/>
        </w:rPr>
        <w:t>pox</w:t>
      </w:r>
      <w:proofErr w:type="spellEnd"/>
      <w:r w:rsidRPr="00243910">
        <w:rPr>
          <w:rFonts w:ascii="High Tower Text" w:eastAsia="Arial" w:hAnsi="High Tower Text" w:cs="Arial"/>
          <w:szCs w:val="24"/>
        </w:rPr>
        <w:t xml:space="preserve">, consolidou-se como um relevante evento sanitário internacional ao ultrapassar seu padrão histórico de endemicidade restrito a países da África Central e Ocidental e alcançar múltiplos continentes a partir de 2022. Diante da rápida disseminação e da identificação de cadeias de transmissão sustentadas em diversos territórios, a World Health </w:t>
      </w:r>
      <w:proofErr w:type="spellStart"/>
      <w:r w:rsidRPr="00243910">
        <w:rPr>
          <w:rFonts w:ascii="High Tower Text" w:eastAsia="Arial" w:hAnsi="High Tower Text" w:cs="Arial"/>
          <w:szCs w:val="24"/>
        </w:rPr>
        <w:t>Organization</w:t>
      </w:r>
      <w:proofErr w:type="spellEnd"/>
      <w:r w:rsidRPr="00243910">
        <w:rPr>
          <w:rFonts w:ascii="High Tower Text" w:eastAsia="Arial" w:hAnsi="High Tower Text" w:cs="Arial"/>
          <w:szCs w:val="24"/>
        </w:rPr>
        <w:t xml:space="preserve"> declarou o surto multicêntrico como Emergência de Saúde Pública de Importância Internacional (PHEIC), reconhecendo a gravidade do cenário e a necessidade de respostas coordenadas entre os países (World Health </w:t>
      </w:r>
      <w:proofErr w:type="spellStart"/>
      <w:r w:rsidRPr="00243910">
        <w:rPr>
          <w:rFonts w:ascii="High Tower Text" w:eastAsia="Arial" w:hAnsi="High Tower Text" w:cs="Arial"/>
          <w:szCs w:val="24"/>
        </w:rPr>
        <w:t>Organization</w:t>
      </w:r>
      <w:proofErr w:type="spellEnd"/>
      <w:r w:rsidRPr="00243910">
        <w:rPr>
          <w:rFonts w:ascii="High Tower Text" w:eastAsia="Arial" w:hAnsi="High Tower Text" w:cs="Arial"/>
          <w:szCs w:val="24"/>
        </w:rPr>
        <w:t xml:space="preserve">, 2022; </w:t>
      </w:r>
      <w:r w:rsidRPr="00243910">
        <w:rPr>
          <w:rFonts w:ascii="High Tower Text" w:eastAsia="Arial" w:hAnsi="High Tower Text" w:cs="Arial"/>
          <w:szCs w:val="24"/>
        </w:rPr>
        <w:lastRenderedPageBreak/>
        <w:t>Organização Mundial da Saúde, 2022). Tal declaração evidenciou fragilidades estruturais nos sistemas de vigilância, detecção precoce e resposta rápida, ao mesmo tempo em que reforçou a centralidade da governança sanitária global para o enfrentamento de ameaças emergentes.</w:t>
      </w:r>
    </w:p>
    <w:p w14:paraId="73CCDD43" w14:textId="77777777" w:rsidR="00243910" w:rsidRPr="00243910" w:rsidRDefault="00243910" w:rsidP="00DD734F">
      <w:pPr>
        <w:spacing w:line="360" w:lineRule="auto"/>
        <w:ind w:firstLine="709"/>
        <w:rPr>
          <w:rFonts w:ascii="High Tower Text" w:eastAsia="Arial" w:hAnsi="High Tower Text" w:cs="Arial"/>
          <w:szCs w:val="24"/>
        </w:rPr>
      </w:pPr>
      <w:r w:rsidRPr="00243910">
        <w:rPr>
          <w:rFonts w:ascii="High Tower Text" w:eastAsia="Arial" w:hAnsi="High Tower Text" w:cs="Arial"/>
          <w:szCs w:val="24"/>
        </w:rPr>
        <w:t xml:space="preserve">Historicamente descrita em 1958 e com primeiros casos humanos registrados na década de 1970, a </w:t>
      </w:r>
      <w:proofErr w:type="spellStart"/>
      <w:r w:rsidRPr="00243910">
        <w:rPr>
          <w:rFonts w:ascii="High Tower Text" w:eastAsia="Arial" w:hAnsi="High Tower Text" w:cs="Arial"/>
          <w:szCs w:val="24"/>
        </w:rPr>
        <w:t>Monkeypox</w:t>
      </w:r>
      <w:proofErr w:type="spellEnd"/>
      <w:r w:rsidRPr="00243910">
        <w:rPr>
          <w:rFonts w:ascii="High Tower Text" w:eastAsia="Arial" w:hAnsi="High Tower Text" w:cs="Arial"/>
          <w:szCs w:val="24"/>
        </w:rPr>
        <w:t xml:space="preserve"> era considerada uma zoonose de ocorrência esporádica fora do continente africano. Entretanto, a dinâmica epidemiológica observada a partir de 2022 demonstrou alterações no padrão de transmissão, com predomínio de disseminação interpessoal em contextos urbanos e redes sociais específicas, ampliando o desafio para os sistemas de saúde (</w:t>
      </w:r>
      <w:proofErr w:type="spellStart"/>
      <w:r w:rsidRPr="00243910">
        <w:rPr>
          <w:rFonts w:ascii="High Tower Text" w:eastAsia="Arial" w:hAnsi="High Tower Text" w:cs="Arial"/>
          <w:szCs w:val="24"/>
        </w:rPr>
        <w:t>Jadhav</w:t>
      </w:r>
      <w:proofErr w:type="spellEnd"/>
      <w:r w:rsidRPr="00243910">
        <w:rPr>
          <w:rFonts w:ascii="High Tower Text" w:eastAsia="Arial" w:hAnsi="High Tower Text" w:cs="Arial"/>
          <w:szCs w:val="24"/>
        </w:rPr>
        <w:t xml:space="preserve"> </w:t>
      </w:r>
      <w:r w:rsidRPr="00243910">
        <w:rPr>
          <w:rFonts w:ascii="High Tower Text" w:eastAsia="Arial" w:hAnsi="High Tower Text" w:cs="Arial"/>
          <w:i/>
          <w:iCs/>
          <w:szCs w:val="24"/>
        </w:rPr>
        <w:t>et al.</w:t>
      </w:r>
      <w:r w:rsidRPr="00243910">
        <w:rPr>
          <w:rFonts w:ascii="High Tower Text" w:eastAsia="Arial" w:hAnsi="High Tower Text" w:cs="Arial"/>
          <w:szCs w:val="24"/>
        </w:rPr>
        <w:t xml:space="preserve">, 2025; Fonseca </w:t>
      </w:r>
      <w:r w:rsidRPr="00243910">
        <w:rPr>
          <w:rFonts w:ascii="High Tower Text" w:eastAsia="Arial" w:hAnsi="High Tower Text" w:cs="Arial"/>
          <w:i/>
          <w:iCs/>
          <w:szCs w:val="24"/>
        </w:rPr>
        <w:t>et al</w:t>
      </w:r>
      <w:r w:rsidRPr="00243910">
        <w:rPr>
          <w:rFonts w:ascii="High Tower Text" w:eastAsia="Arial" w:hAnsi="High Tower Text" w:cs="Arial"/>
          <w:szCs w:val="24"/>
        </w:rPr>
        <w:t xml:space="preserve">., 2025). A rápida expansão internacional demandou a articulação de estratégias baseadas em vigilância epidemiológica sensível, testagem laboratorial oportuna, isolamento de casos, rastreamento de contatos e comunicação de risco eficaz, conforme orientações da Organização Pan-Americana da Saúde e da World Health </w:t>
      </w:r>
      <w:proofErr w:type="spellStart"/>
      <w:r w:rsidRPr="00243910">
        <w:rPr>
          <w:rFonts w:ascii="High Tower Text" w:eastAsia="Arial" w:hAnsi="High Tower Text" w:cs="Arial"/>
          <w:szCs w:val="24"/>
        </w:rPr>
        <w:t>Organization</w:t>
      </w:r>
      <w:proofErr w:type="spellEnd"/>
      <w:r w:rsidRPr="00243910">
        <w:rPr>
          <w:rFonts w:ascii="High Tower Text" w:eastAsia="Arial" w:hAnsi="High Tower Text" w:cs="Arial"/>
          <w:szCs w:val="24"/>
        </w:rPr>
        <w:t xml:space="preserve"> (Organização Pan-Americana da Saúde, 2022; Organização Mundial da Saúde, 2022).</w:t>
      </w:r>
    </w:p>
    <w:p w14:paraId="15515A83" w14:textId="77777777" w:rsidR="00243910" w:rsidRPr="00243910" w:rsidRDefault="00243910" w:rsidP="00DD734F">
      <w:pPr>
        <w:spacing w:line="360" w:lineRule="auto"/>
        <w:ind w:firstLine="709"/>
        <w:rPr>
          <w:rFonts w:ascii="High Tower Text" w:eastAsia="Arial" w:hAnsi="High Tower Text" w:cs="Arial"/>
          <w:szCs w:val="24"/>
        </w:rPr>
      </w:pPr>
      <w:r w:rsidRPr="00243910">
        <w:rPr>
          <w:rFonts w:ascii="High Tower Text" w:eastAsia="Arial" w:hAnsi="High Tower Text" w:cs="Arial"/>
          <w:szCs w:val="24"/>
        </w:rPr>
        <w:t xml:space="preserve">No contexto brasileiro, a identificação dos primeiros casos importados e a subsequente transmissão local motivaram a adoção de medidas normativas e assistenciais em caráter emergencial. O Ministério da Saúde declarou Emergência em Saúde Pública de Importância Nacional (ESPIN) por meio da Portaria GM/MS nº 1.102, de 23 de maio de 2022, estabelecendo diretrizes para organização da rede assistencial e fortalecimento da vigilância (Brasil, 2022a). Paralelamente, foram publicados o Guia de Vigilância Epidemiológica e o Plano de Contingência Nacional para infecção humana pelo vírus </w:t>
      </w:r>
      <w:proofErr w:type="spellStart"/>
      <w:r w:rsidRPr="00243910">
        <w:rPr>
          <w:rFonts w:ascii="High Tower Text" w:eastAsia="Arial" w:hAnsi="High Tower Text" w:cs="Arial"/>
          <w:szCs w:val="24"/>
        </w:rPr>
        <w:t>Monkeypox</w:t>
      </w:r>
      <w:proofErr w:type="spellEnd"/>
      <w:r w:rsidRPr="00243910">
        <w:rPr>
          <w:rFonts w:ascii="High Tower Text" w:eastAsia="Arial" w:hAnsi="High Tower Text" w:cs="Arial"/>
          <w:szCs w:val="24"/>
        </w:rPr>
        <w:t>, com orientações para notificação compulsória, investigação de casos, manejo clínico e organização da resposta interfederativa (Brasil, 2022b; Brasil, 2022c). A Agência Nacional de Vigilância Sanitária também emitiu nota técnica com recomendações para vigilância, prevenção e controle em serviços de saúde e pontos de entrada no país (Agência Nacional de Vigilância Sanitária, 2022).</w:t>
      </w:r>
    </w:p>
    <w:p w14:paraId="6D0A2123" w14:textId="77777777" w:rsidR="00243910" w:rsidRPr="00243910" w:rsidRDefault="00243910" w:rsidP="00DD734F">
      <w:pPr>
        <w:spacing w:line="360" w:lineRule="auto"/>
        <w:ind w:firstLine="709"/>
        <w:rPr>
          <w:rFonts w:ascii="High Tower Text" w:eastAsia="Arial" w:hAnsi="High Tower Text" w:cs="Arial"/>
          <w:szCs w:val="24"/>
        </w:rPr>
      </w:pPr>
      <w:r w:rsidRPr="00243910">
        <w:rPr>
          <w:rFonts w:ascii="High Tower Text" w:eastAsia="Arial" w:hAnsi="High Tower Text" w:cs="Arial"/>
          <w:szCs w:val="24"/>
        </w:rPr>
        <w:t xml:space="preserve">Apesar da rápida mobilização institucional, a literatura aponta desafios significativos para a governança sanitária no enfrentamento da </w:t>
      </w:r>
      <w:proofErr w:type="spellStart"/>
      <w:r w:rsidRPr="00243910">
        <w:rPr>
          <w:rFonts w:ascii="High Tower Text" w:eastAsia="Arial" w:hAnsi="High Tower Text" w:cs="Arial"/>
          <w:szCs w:val="24"/>
        </w:rPr>
        <w:t>Monkeypox</w:t>
      </w:r>
      <w:proofErr w:type="spellEnd"/>
      <w:r w:rsidRPr="00243910">
        <w:rPr>
          <w:rFonts w:ascii="High Tower Text" w:eastAsia="Arial" w:hAnsi="High Tower Text" w:cs="Arial"/>
          <w:szCs w:val="24"/>
        </w:rPr>
        <w:t xml:space="preserve">. Entre eles, destacam-se a necessidade de integração entre vigilância epidemiológica e atenção à saúde, a garantia de acesso equitativo a diagnóstico laboratorial, a qualificação dos fluxos de notificação e a capacitação de profissionais (Boing </w:t>
      </w:r>
      <w:r w:rsidRPr="00243910">
        <w:rPr>
          <w:rFonts w:ascii="High Tower Text" w:eastAsia="Arial" w:hAnsi="High Tower Text" w:cs="Arial"/>
          <w:i/>
          <w:iCs/>
          <w:szCs w:val="24"/>
        </w:rPr>
        <w:t>et al.,</w:t>
      </w:r>
      <w:r w:rsidRPr="00243910">
        <w:rPr>
          <w:rFonts w:ascii="High Tower Text" w:eastAsia="Arial" w:hAnsi="High Tower Text" w:cs="Arial"/>
          <w:szCs w:val="24"/>
        </w:rPr>
        <w:t xml:space="preserve"> 2022; Macedo; Maciel, 2023). Ademais, a circulação do vírus em diferentes regiões do país, com múltiplas introduções e transmissão local sustentada, evidenciou </w:t>
      </w:r>
      <w:r w:rsidRPr="00243910">
        <w:rPr>
          <w:rFonts w:ascii="High Tower Text" w:eastAsia="Arial" w:hAnsi="High Tower Text" w:cs="Arial"/>
          <w:szCs w:val="24"/>
        </w:rPr>
        <w:lastRenderedPageBreak/>
        <w:t xml:space="preserve">a importância do monitoramento genômico e da coordenação entre esferas federal, estadual e municipal (Godinho </w:t>
      </w:r>
      <w:r w:rsidRPr="00243910">
        <w:rPr>
          <w:rFonts w:ascii="High Tower Text" w:eastAsia="Arial" w:hAnsi="High Tower Text" w:cs="Arial"/>
          <w:i/>
          <w:iCs/>
          <w:szCs w:val="24"/>
        </w:rPr>
        <w:t>et al.,</w:t>
      </w:r>
      <w:r w:rsidRPr="00243910">
        <w:rPr>
          <w:rFonts w:ascii="High Tower Text" w:eastAsia="Arial" w:hAnsi="High Tower Text" w:cs="Arial"/>
          <w:szCs w:val="24"/>
        </w:rPr>
        <w:t xml:space="preserve"> 2025).</w:t>
      </w:r>
    </w:p>
    <w:p w14:paraId="38A63BD8" w14:textId="77777777" w:rsidR="00243910" w:rsidRPr="00243910" w:rsidRDefault="00243910" w:rsidP="00DD734F">
      <w:pPr>
        <w:spacing w:line="360" w:lineRule="auto"/>
        <w:ind w:firstLine="709"/>
        <w:rPr>
          <w:rFonts w:ascii="High Tower Text" w:eastAsia="Arial" w:hAnsi="High Tower Text" w:cs="Arial"/>
          <w:szCs w:val="24"/>
        </w:rPr>
      </w:pPr>
      <w:r w:rsidRPr="00243910">
        <w:rPr>
          <w:rFonts w:ascii="High Tower Text" w:eastAsia="Arial" w:hAnsi="High Tower Text" w:cs="Arial"/>
          <w:szCs w:val="24"/>
        </w:rPr>
        <w:t>No plano internacional, análises comparativas das respostas a surtos anteriores e recentes indicam que a efetividade das medidas de controle está diretamente relacionada à capacidade de detecção precoce, notificação tempestiva e resposta rápida, conforme parâmetros como a meta 7-1-7 para emergências de saúde pública (Bochner</w:t>
      </w:r>
      <w:r w:rsidRPr="00243910">
        <w:rPr>
          <w:rFonts w:ascii="High Tower Text" w:eastAsia="Arial" w:hAnsi="High Tower Text" w:cs="Arial"/>
          <w:i/>
          <w:iCs/>
          <w:szCs w:val="24"/>
        </w:rPr>
        <w:t xml:space="preserve"> et al</w:t>
      </w:r>
      <w:r w:rsidRPr="00243910">
        <w:rPr>
          <w:rFonts w:ascii="High Tower Text" w:eastAsia="Arial" w:hAnsi="High Tower Text" w:cs="Arial"/>
          <w:szCs w:val="24"/>
        </w:rPr>
        <w:t xml:space="preserve">., 2023; Aziz </w:t>
      </w:r>
      <w:r w:rsidRPr="00243910">
        <w:rPr>
          <w:rFonts w:ascii="High Tower Text" w:eastAsia="Arial" w:hAnsi="High Tower Text" w:cs="Arial"/>
          <w:i/>
          <w:iCs/>
          <w:szCs w:val="24"/>
        </w:rPr>
        <w:t>et al</w:t>
      </w:r>
      <w:r w:rsidRPr="00243910">
        <w:rPr>
          <w:rFonts w:ascii="High Tower Text" w:eastAsia="Arial" w:hAnsi="High Tower Text" w:cs="Arial"/>
          <w:szCs w:val="24"/>
        </w:rPr>
        <w:t xml:space="preserve">., 2025). Nesse sentido, a experiência com a </w:t>
      </w:r>
      <w:proofErr w:type="spellStart"/>
      <w:r w:rsidRPr="00243910">
        <w:rPr>
          <w:rFonts w:ascii="High Tower Text" w:eastAsia="Arial" w:hAnsi="High Tower Text" w:cs="Arial"/>
          <w:szCs w:val="24"/>
        </w:rPr>
        <w:t>Monkeypox</w:t>
      </w:r>
      <w:proofErr w:type="spellEnd"/>
      <w:r w:rsidRPr="00243910">
        <w:rPr>
          <w:rFonts w:ascii="High Tower Text" w:eastAsia="Arial" w:hAnsi="High Tower Text" w:cs="Arial"/>
          <w:szCs w:val="24"/>
        </w:rPr>
        <w:t xml:space="preserve"> reforça a necessidade de sistemas resilientes, capazes de articular vigilância laboratorial, assistência clínica e comunicação de risco de maneira integrada. Estratégias de engajamento comunitário e comunicação transparente mostraram-se fundamentais para reduzir estigmas, combater desinformação e promover adesão às medidas de prevenção (Mambo </w:t>
      </w:r>
      <w:r w:rsidRPr="00243910">
        <w:rPr>
          <w:rFonts w:ascii="High Tower Text" w:eastAsia="Arial" w:hAnsi="High Tower Text" w:cs="Arial"/>
          <w:i/>
          <w:iCs/>
          <w:szCs w:val="24"/>
        </w:rPr>
        <w:t>et al</w:t>
      </w:r>
      <w:r w:rsidRPr="00243910">
        <w:rPr>
          <w:rFonts w:ascii="High Tower Text" w:eastAsia="Arial" w:hAnsi="High Tower Text" w:cs="Arial"/>
          <w:szCs w:val="24"/>
        </w:rPr>
        <w:t>., 2025).</w:t>
      </w:r>
    </w:p>
    <w:p w14:paraId="5C529852" w14:textId="77777777" w:rsidR="00243910" w:rsidRPr="00243910" w:rsidRDefault="00243910" w:rsidP="00DD734F">
      <w:pPr>
        <w:spacing w:line="360" w:lineRule="auto"/>
        <w:ind w:firstLine="709"/>
        <w:rPr>
          <w:rFonts w:ascii="High Tower Text" w:eastAsia="Arial" w:hAnsi="High Tower Text" w:cs="Arial"/>
          <w:szCs w:val="24"/>
        </w:rPr>
      </w:pPr>
      <w:r w:rsidRPr="00243910">
        <w:rPr>
          <w:rFonts w:ascii="High Tower Text" w:eastAsia="Arial" w:hAnsi="High Tower Text" w:cs="Arial"/>
          <w:szCs w:val="24"/>
        </w:rPr>
        <w:t xml:space="preserve">A emergência da </w:t>
      </w:r>
      <w:proofErr w:type="spellStart"/>
      <w:r w:rsidRPr="00243910">
        <w:rPr>
          <w:rFonts w:ascii="High Tower Text" w:eastAsia="Arial" w:hAnsi="High Tower Text" w:cs="Arial"/>
          <w:szCs w:val="24"/>
        </w:rPr>
        <w:t>Monkeypox</w:t>
      </w:r>
      <w:proofErr w:type="spellEnd"/>
      <w:r w:rsidRPr="00243910">
        <w:rPr>
          <w:rFonts w:ascii="High Tower Text" w:eastAsia="Arial" w:hAnsi="High Tower Text" w:cs="Arial"/>
          <w:szCs w:val="24"/>
        </w:rPr>
        <w:t xml:space="preserve"> também evidenciou determinantes sociais e desigualdades estruturais que influenciam a dinâmica de transmissão e o acesso ao cuidado. Contextos de vulnerabilidade social, fragilidade institucional e limitações de infraestrutura sanitária potencializam a propagação do vírus e dificultam a implementação de respostas oportunas (</w:t>
      </w:r>
      <w:proofErr w:type="spellStart"/>
      <w:r w:rsidRPr="00243910">
        <w:rPr>
          <w:rFonts w:ascii="High Tower Text" w:eastAsia="Arial" w:hAnsi="High Tower Text" w:cs="Arial"/>
          <w:szCs w:val="24"/>
        </w:rPr>
        <w:t>Tambo</w:t>
      </w:r>
      <w:proofErr w:type="spellEnd"/>
      <w:r w:rsidRPr="00243910">
        <w:rPr>
          <w:rFonts w:ascii="High Tower Text" w:eastAsia="Arial" w:hAnsi="High Tower Text" w:cs="Arial"/>
          <w:szCs w:val="24"/>
        </w:rPr>
        <w:t>; Al-</w:t>
      </w:r>
      <w:proofErr w:type="spellStart"/>
      <w:r w:rsidRPr="00243910">
        <w:rPr>
          <w:rFonts w:ascii="High Tower Text" w:eastAsia="Arial" w:hAnsi="High Tower Text" w:cs="Arial"/>
          <w:szCs w:val="24"/>
        </w:rPr>
        <w:t>Nazawi</w:t>
      </w:r>
      <w:proofErr w:type="spellEnd"/>
      <w:r w:rsidRPr="00243910">
        <w:rPr>
          <w:rFonts w:ascii="High Tower Text" w:eastAsia="Arial" w:hAnsi="High Tower Text" w:cs="Arial"/>
          <w:szCs w:val="24"/>
        </w:rPr>
        <w:t xml:space="preserve">, 2022). Nesse cenário, abordagens intersetoriais e fundamentadas no conceito de </w:t>
      </w:r>
      <w:proofErr w:type="spellStart"/>
      <w:r w:rsidRPr="00243910">
        <w:rPr>
          <w:rFonts w:ascii="High Tower Text" w:eastAsia="Arial" w:hAnsi="High Tower Text" w:cs="Arial"/>
          <w:szCs w:val="24"/>
        </w:rPr>
        <w:t>One</w:t>
      </w:r>
      <w:proofErr w:type="spellEnd"/>
      <w:r w:rsidRPr="00243910">
        <w:rPr>
          <w:rFonts w:ascii="High Tower Text" w:eastAsia="Arial" w:hAnsi="High Tower Text" w:cs="Arial"/>
          <w:szCs w:val="24"/>
        </w:rPr>
        <w:t xml:space="preserve"> Health ganham destaque, ao reconhecerem a interdependência entre saúde humana, animal e ambiental na prevenção de zoonoses emergentes (</w:t>
      </w:r>
      <w:proofErr w:type="spellStart"/>
      <w:r w:rsidRPr="00243910">
        <w:rPr>
          <w:rFonts w:ascii="High Tower Text" w:eastAsia="Arial" w:hAnsi="High Tower Text" w:cs="Arial"/>
          <w:szCs w:val="24"/>
        </w:rPr>
        <w:t>Ranakoti</w:t>
      </w:r>
      <w:proofErr w:type="spellEnd"/>
      <w:r w:rsidRPr="00243910">
        <w:rPr>
          <w:rFonts w:ascii="High Tower Text" w:eastAsia="Arial" w:hAnsi="High Tower Text" w:cs="Arial"/>
          <w:szCs w:val="24"/>
        </w:rPr>
        <w:t xml:space="preserve"> </w:t>
      </w:r>
      <w:r w:rsidRPr="00243910">
        <w:rPr>
          <w:rFonts w:ascii="High Tower Text" w:eastAsia="Arial" w:hAnsi="High Tower Text" w:cs="Arial"/>
          <w:i/>
          <w:iCs/>
          <w:szCs w:val="24"/>
        </w:rPr>
        <w:t>et al</w:t>
      </w:r>
      <w:r w:rsidRPr="00243910">
        <w:rPr>
          <w:rFonts w:ascii="High Tower Text" w:eastAsia="Arial" w:hAnsi="High Tower Text" w:cs="Arial"/>
          <w:szCs w:val="24"/>
        </w:rPr>
        <w:t>., 2025).</w:t>
      </w:r>
    </w:p>
    <w:p w14:paraId="67AA6D3C" w14:textId="77777777" w:rsidR="00243910" w:rsidRPr="00243910" w:rsidRDefault="00243910" w:rsidP="00DD734F">
      <w:pPr>
        <w:spacing w:line="360" w:lineRule="auto"/>
        <w:ind w:firstLine="709"/>
        <w:rPr>
          <w:rFonts w:ascii="High Tower Text" w:eastAsia="Arial" w:hAnsi="High Tower Text" w:cs="Arial"/>
          <w:szCs w:val="24"/>
        </w:rPr>
      </w:pPr>
      <w:r w:rsidRPr="00243910">
        <w:rPr>
          <w:rFonts w:ascii="High Tower Text" w:eastAsia="Arial" w:hAnsi="High Tower Text" w:cs="Arial"/>
          <w:szCs w:val="24"/>
        </w:rPr>
        <w:t>Do ponto de vista da avaliação de políticas públicas, estudos recentes analisam os impactos das medidas adotadas no Brasil, ressaltando avanços na organização da vigilância e na normatização de fluxos assistenciais, mas também apontando lacunas relacionadas à coordenação federativa, à sustentabilidade das ações e à comunicação com populações vulneráveis (Santos; Sant’Anna, 2024). A governança sanitária, nesse contexto, exige não apenas respostas reativas a emergências declaradas, mas também planejamento estratégico, financiamento adequado e fortalecimento contínuo das capacidades institucionais.</w:t>
      </w:r>
    </w:p>
    <w:p w14:paraId="102D82C6" w14:textId="77777777" w:rsidR="00243910" w:rsidRPr="00243910" w:rsidRDefault="00243910" w:rsidP="00DD734F">
      <w:pPr>
        <w:spacing w:line="360" w:lineRule="auto"/>
        <w:ind w:firstLine="709"/>
        <w:rPr>
          <w:rFonts w:ascii="High Tower Text" w:eastAsia="Arial" w:hAnsi="High Tower Text" w:cs="Arial"/>
          <w:szCs w:val="24"/>
        </w:rPr>
      </w:pPr>
      <w:r w:rsidRPr="00243910">
        <w:rPr>
          <w:rFonts w:ascii="High Tower Text" w:eastAsia="Arial" w:hAnsi="High Tower Text" w:cs="Arial"/>
          <w:szCs w:val="24"/>
        </w:rPr>
        <w:t xml:space="preserve">Assim, a </w:t>
      </w:r>
      <w:proofErr w:type="spellStart"/>
      <w:r w:rsidRPr="00243910">
        <w:rPr>
          <w:rFonts w:ascii="High Tower Text" w:eastAsia="Arial" w:hAnsi="High Tower Text" w:cs="Arial"/>
          <w:szCs w:val="24"/>
        </w:rPr>
        <w:t>Monkeypox</w:t>
      </w:r>
      <w:proofErr w:type="spellEnd"/>
      <w:r w:rsidRPr="00243910">
        <w:rPr>
          <w:rFonts w:ascii="High Tower Text" w:eastAsia="Arial" w:hAnsi="High Tower Text" w:cs="Arial"/>
          <w:szCs w:val="24"/>
        </w:rPr>
        <w:t xml:space="preserve"> configura-se como uma emergência de saúde pública que transcende o âmbito clínico-epidemiológico e impõe desafios complexos à governança sanitária nacional. A experiência brasileira, articulada às diretrizes internacionais e às evidências científicas recentes, evidencia a importância de sistemas de saúde integrados, vigilância robusta, coordenação intersetorial e comunicação de risco eficaz para mitigar impactos e prevenir novos surtos. Diante desse cenário, o presente estudo tem como objetivo analisar a </w:t>
      </w:r>
      <w:proofErr w:type="spellStart"/>
      <w:r w:rsidRPr="00243910">
        <w:rPr>
          <w:rFonts w:ascii="High Tower Text" w:eastAsia="Arial" w:hAnsi="High Tower Text" w:cs="Arial"/>
          <w:szCs w:val="24"/>
        </w:rPr>
        <w:t>Monkeypox</w:t>
      </w:r>
      <w:proofErr w:type="spellEnd"/>
      <w:r w:rsidRPr="00243910">
        <w:rPr>
          <w:rFonts w:ascii="High Tower Text" w:eastAsia="Arial" w:hAnsi="High Tower Text" w:cs="Arial"/>
          <w:szCs w:val="24"/>
        </w:rPr>
        <w:t xml:space="preserve"> como </w:t>
      </w:r>
      <w:r w:rsidRPr="00243910">
        <w:rPr>
          <w:rFonts w:ascii="High Tower Text" w:eastAsia="Arial" w:hAnsi="High Tower Text" w:cs="Arial"/>
          <w:szCs w:val="24"/>
        </w:rPr>
        <w:lastRenderedPageBreak/>
        <w:t>emergência de saúde pública, discutindo os principais desafios para a governança sanitária e para a organização da resposta do sistema de saúde no âmbito nacional.</w:t>
      </w:r>
    </w:p>
    <w:p w14:paraId="0CD76D66" w14:textId="77777777" w:rsidR="00243910" w:rsidRPr="00243910" w:rsidRDefault="00243910" w:rsidP="00243910">
      <w:pPr>
        <w:spacing w:before="100" w:beforeAutospacing="1" w:after="100" w:afterAutospacing="1"/>
        <w:rPr>
          <w:rFonts w:ascii="High Tower Text" w:eastAsia="Arial" w:hAnsi="High Tower Text" w:cs="Arial"/>
          <w:szCs w:val="24"/>
        </w:rPr>
      </w:pPr>
      <w:r w:rsidRPr="00243910">
        <w:rPr>
          <w:rFonts w:ascii="High Tower Text" w:eastAsia="Arial" w:hAnsi="High Tower Text" w:cs="Arial"/>
          <w:b/>
          <w:bCs/>
          <w:szCs w:val="24"/>
        </w:rPr>
        <w:t>MÉTODOS</w:t>
      </w:r>
    </w:p>
    <w:p w14:paraId="3F8C97DB" w14:textId="77777777" w:rsidR="00243910" w:rsidRPr="00243910" w:rsidRDefault="00243910" w:rsidP="00243910">
      <w:pPr>
        <w:spacing w:line="360" w:lineRule="auto"/>
        <w:ind w:firstLine="709"/>
        <w:rPr>
          <w:rFonts w:ascii="High Tower Text" w:eastAsia="Arial" w:hAnsi="High Tower Text" w:cs="Arial"/>
          <w:szCs w:val="24"/>
        </w:rPr>
      </w:pPr>
      <w:r w:rsidRPr="00243910">
        <w:rPr>
          <w:rFonts w:ascii="High Tower Text" w:eastAsia="Arial" w:hAnsi="High Tower Text" w:cs="Arial"/>
          <w:szCs w:val="24"/>
        </w:rPr>
        <w:t xml:space="preserve">Trata-se de um estudo de natureza qualitativa, com abordagem descritivo-analítica, desenvolvido por meio de revisão narrativa e análise documental, com o objetivo de examinar a </w:t>
      </w:r>
      <w:proofErr w:type="spellStart"/>
      <w:r w:rsidRPr="00243910">
        <w:rPr>
          <w:rFonts w:ascii="High Tower Text" w:eastAsia="Arial" w:hAnsi="High Tower Text" w:cs="Arial"/>
          <w:szCs w:val="24"/>
        </w:rPr>
        <w:t>Monkeypox</w:t>
      </w:r>
      <w:proofErr w:type="spellEnd"/>
      <w:r w:rsidRPr="00243910">
        <w:rPr>
          <w:rFonts w:ascii="High Tower Text" w:eastAsia="Arial" w:hAnsi="High Tower Text" w:cs="Arial"/>
          <w:szCs w:val="24"/>
        </w:rPr>
        <w:t xml:space="preserve"> como emergência de saúde pública, enfatizando os desafios para a governança sanitária e para a resposta do sistema de saúde no âmbito nacional. A escolha do delineamento justifica-se pela necessidade de integrar evidências científicas recentes com documentos normativos, diretrizes técnicas e marcos regulatórios publicados por organismos nacionais e internacionais, possibilitando uma compreensão ampliada do fenômeno em seus aspectos epidemiológicos, políticos e organizacionais.</w:t>
      </w:r>
    </w:p>
    <w:p w14:paraId="0FAA7012" w14:textId="77777777" w:rsidR="00243910" w:rsidRPr="00243910" w:rsidRDefault="00243910" w:rsidP="00243910">
      <w:pPr>
        <w:spacing w:line="360" w:lineRule="auto"/>
        <w:ind w:firstLine="709"/>
        <w:rPr>
          <w:rFonts w:ascii="High Tower Text" w:eastAsia="Arial" w:hAnsi="High Tower Text" w:cs="Arial"/>
          <w:szCs w:val="24"/>
        </w:rPr>
      </w:pPr>
      <w:r w:rsidRPr="00243910">
        <w:rPr>
          <w:rFonts w:ascii="High Tower Text" w:eastAsia="Arial" w:hAnsi="High Tower Text" w:cs="Arial"/>
          <w:szCs w:val="24"/>
        </w:rPr>
        <w:t xml:space="preserve">A pesquisa foi realizada no período de janeiro a fevereiro de 2026, contemplando publicações nacionais e internacionais divulgadas entre 2022 e 2025, recorte temporal definido a partir da declaração da Emergência de Saúde Pública de Importância Internacional pela World Health </w:t>
      </w:r>
      <w:proofErr w:type="spellStart"/>
      <w:r w:rsidRPr="00243910">
        <w:rPr>
          <w:rFonts w:ascii="High Tower Text" w:eastAsia="Arial" w:hAnsi="High Tower Text" w:cs="Arial"/>
          <w:szCs w:val="24"/>
        </w:rPr>
        <w:t>Organization</w:t>
      </w:r>
      <w:proofErr w:type="spellEnd"/>
      <w:r w:rsidRPr="00243910">
        <w:rPr>
          <w:rFonts w:ascii="High Tower Text" w:eastAsia="Arial" w:hAnsi="High Tower Text" w:cs="Arial"/>
          <w:szCs w:val="24"/>
        </w:rPr>
        <w:t xml:space="preserve"> (World Health </w:t>
      </w:r>
      <w:proofErr w:type="spellStart"/>
      <w:r w:rsidRPr="00243910">
        <w:rPr>
          <w:rFonts w:ascii="High Tower Text" w:eastAsia="Arial" w:hAnsi="High Tower Text" w:cs="Arial"/>
          <w:szCs w:val="24"/>
        </w:rPr>
        <w:t>Organization</w:t>
      </w:r>
      <w:proofErr w:type="spellEnd"/>
      <w:r w:rsidRPr="00243910">
        <w:rPr>
          <w:rFonts w:ascii="High Tower Text" w:eastAsia="Arial" w:hAnsi="High Tower Text" w:cs="Arial"/>
          <w:szCs w:val="24"/>
        </w:rPr>
        <w:t xml:space="preserve">, 2022). Foram incluídos artigos científicos indexados em bases de dados como </w:t>
      </w:r>
      <w:proofErr w:type="spellStart"/>
      <w:r w:rsidRPr="00243910">
        <w:rPr>
          <w:rFonts w:ascii="High Tower Text" w:eastAsia="Arial" w:hAnsi="High Tower Text" w:cs="Arial"/>
          <w:szCs w:val="24"/>
        </w:rPr>
        <w:t>PubMed</w:t>
      </w:r>
      <w:proofErr w:type="spellEnd"/>
      <w:r w:rsidRPr="00243910">
        <w:rPr>
          <w:rFonts w:ascii="High Tower Text" w:eastAsia="Arial" w:hAnsi="High Tower Text" w:cs="Arial"/>
          <w:szCs w:val="24"/>
        </w:rPr>
        <w:t xml:space="preserve">/MEDLINE, Scopus, Web </w:t>
      </w:r>
      <w:proofErr w:type="spellStart"/>
      <w:r w:rsidRPr="00243910">
        <w:rPr>
          <w:rFonts w:ascii="High Tower Text" w:eastAsia="Arial" w:hAnsi="High Tower Text" w:cs="Arial"/>
          <w:szCs w:val="24"/>
        </w:rPr>
        <w:t>of</w:t>
      </w:r>
      <w:proofErr w:type="spellEnd"/>
      <w:r w:rsidRPr="00243910">
        <w:rPr>
          <w:rFonts w:ascii="High Tower Text" w:eastAsia="Arial" w:hAnsi="High Tower Text" w:cs="Arial"/>
          <w:szCs w:val="24"/>
        </w:rPr>
        <w:t xml:space="preserve"> Science e SciELO, além de documentos técnicos, notas informativas, portarias e planos de contingência publicados por órgãos oficiais, como o Ministério da Saúde do Brasil, a Organização Pan-Americana da Saúde e a Agência Nacional de Vigilância Sanitária.</w:t>
      </w:r>
    </w:p>
    <w:p w14:paraId="189A2F45" w14:textId="77777777" w:rsidR="00243910" w:rsidRPr="00243910" w:rsidRDefault="00243910" w:rsidP="00243910">
      <w:pPr>
        <w:spacing w:line="360" w:lineRule="auto"/>
        <w:ind w:firstLine="709"/>
        <w:rPr>
          <w:rFonts w:ascii="High Tower Text" w:eastAsia="Arial" w:hAnsi="High Tower Text" w:cs="Arial"/>
          <w:szCs w:val="24"/>
        </w:rPr>
      </w:pPr>
      <w:r w:rsidRPr="00243910">
        <w:rPr>
          <w:rFonts w:ascii="High Tower Text" w:eastAsia="Arial" w:hAnsi="High Tower Text" w:cs="Arial"/>
          <w:szCs w:val="24"/>
        </w:rPr>
        <w:t>Para a busca bibliográfica, utilizaram-se descritores controlados e palavras-chave em português e inglês, combinados por operadores booleanos (AND/OR), tais como: “</w:t>
      </w:r>
      <w:proofErr w:type="spellStart"/>
      <w:r w:rsidRPr="00243910">
        <w:rPr>
          <w:rFonts w:ascii="High Tower Text" w:eastAsia="Arial" w:hAnsi="High Tower Text" w:cs="Arial"/>
          <w:szCs w:val="24"/>
        </w:rPr>
        <w:t>Monkeypox</w:t>
      </w:r>
      <w:proofErr w:type="spellEnd"/>
      <w:r w:rsidRPr="00243910">
        <w:rPr>
          <w:rFonts w:ascii="High Tower Text" w:eastAsia="Arial" w:hAnsi="High Tower Text" w:cs="Arial"/>
          <w:szCs w:val="24"/>
        </w:rPr>
        <w:t>”, “</w:t>
      </w:r>
      <w:proofErr w:type="spellStart"/>
      <w:r w:rsidRPr="00243910">
        <w:rPr>
          <w:rFonts w:ascii="High Tower Text" w:eastAsia="Arial" w:hAnsi="High Tower Text" w:cs="Arial"/>
          <w:szCs w:val="24"/>
        </w:rPr>
        <w:t>Mpox</w:t>
      </w:r>
      <w:proofErr w:type="spellEnd"/>
      <w:r w:rsidRPr="00243910">
        <w:rPr>
          <w:rFonts w:ascii="High Tower Text" w:eastAsia="Arial" w:hAnsi="High Tower Text" w:cs="Arial"/>
          <w:szCs w:val="24"/>
        </w:rPr>
        <w:t>”, “emergência de saúde pública”, “governança sanitária”, “vigilância epidemiológica”, “</w:t>
      </w:r>
      <w:proofErr w:type="spellStart"/>
      <w:r w:rsidRPr="00243910">
        <w:rPr>
          <w:rFonts w:ascii="High Tower Text" w:eastAsia="Arial" w:hAnsi="High Tower Text" w:cs="Arial"/>
          <w:szCs w:val="24"/>
        </w:rPr>
        <w:t>public</w:t>
      </w:r>
      <w:proofErr w:type="spellEnd"/>
      <w:r w:rsidRPr="00243910">
        <w:rPr>
          <w:rFonts w:ascii="High Tower Text" w:eastAsia="Arial" w:hAnsi="High Tower Text" w:cs="Arial"/>
          <w:szCs w:val="24"/>
        </w:rPr>
        <w:t xml:space="preserve"> </w:t>
      </w:r>
      <w:proofErr w:type="spellStart"/>
      <w:r w:rsidRPr="00243910">
        <w:rPr>
          <w:rFonts w:ascii="High Tower Text" w:eastAsia="Arial" w:hAnsi="High Tower Text" w:cs="Arial"/>
          <w:szCs w:val="24"/>
        </w:rPr>
        <w:t>health</w:t>
      </w:r>
      <w:proofErr w:type="spellEnd"/>
      <w:r w:rsidRPr="00243910">
        <w:rPr>
          <w:rFonts w:ascii="High Tower Text" w:eastAsia="Arial" w:hAnsi="High Tower Text" w:cs="Arial"/>
          <w:szCs w:val="24"/>
        </w:rPr>
        <w:t xml:space="preserve"> </w:t>
      </w:r>
      <w:proofErr w:type="spellStart"/>
      <w:r w:rsidRPr="00243910">
        <w:rPr>
          <w:rFonts w:ascii="High Tower Text" w:eastAsia="Arial" w:hAnsi="High Tower Text" w:cs="Arial"/>
          <w:szCs w:val="24"/>
        </w:rPr>
        <w:t>emergency</w:t>
      </w:r>
      <w:proofErr w:type="spellEnd"/>
      <w:r w:rsidRPr="00243910">
        <w:rPr>
          <w:rFonts w:ascii="High Tower Text" w:eastAsia="Arial" w:hAnsi="High Tower Text" w:cs="Arial"/>
          <w:szCs w:val="24"/>
        </w:rPr>
        <w:t>” e “</w:t>
      </w:r>
      <w:proofErr w:type="spellStart"/>
      <w:r w:rsidRPr="00243910">
        <w:rPr>
          <w:rFonts w:ascii="High Tower Text" w:eastAsia="Arial" w:hAnsi="High Tower Text" w:cs="Arial"/>
          <w:szCs w:val="24"/>
        </w:rPr>
        <w:t>health</w:t>
      </w:r>
      <w:proofErr w:type="spellEnd"/>
      <w:r w:rsidRPr="00243910">
        <w:rPr>
          <w:rFonts w:ascii="High Tower Text" w:eastAsia="Arial" w:hAnsi="High Tower Text" w:cs="Arial"/>
          <w:szCs w:val="24"/>
        </w:rPr>
        <w:t xml:space="preserve"> </w:t>
      </w:r>
      <w:proofErr w:type="spellStart"/>
      <w:r w:rsidRPr="00243910">
        <w:rPr>
          <w:rFonts w:ascii="High Tower Text" w:eastAsia="Arial" w:hAnsi="High Tower Text" w:cs="Arial"/>
          <w:szCs w:val="24"/>
        </w:rPr>
        <w:t>governance</w:t>
      </w:r>
      <w:proofErr w:type="spellEnd"/>
      <w:r w:rsidRPr="00243910">
        <w:rPr>
          <w:rFonts w:ascii="High Tower Text" w:eastAsia="Arial" w:hAnsi="High Tower Text" w:cs="Arial"/>
          <w:szCs w:val="24"/>
        </w:rPr>
        <w:t xml:space="preserve">”. Os critérios de inclusão abrangeram: (a) estudos originais, revisões sistemáticas ou narrativas e análises de políticas públicas; (b) documentos normativos oficiais relacionados à vigilância, prevenção e controle da </w:t>
      </w:r>
      <w:proofErr w:type="spellStart"/>
      <w:r w:rsidRPr="00243910">
        <w:rPr>
          <w:rFonts w:ascii="High Tower Text" w:eastAsia="Arial" w:hAnsi="High Tower Text" w:cs="Arial"/>
          <w:szCs w:val="24"/>
        </w:rPr>
        <w:t>Monkeypox</w:t>
      </w:r>
      <w:proofErr w:type="spellEnd"/>
      <w:r w:rsidRPr="00243910">
        <w:rPr>
          <w:rFonts w:ascii="High Tower Text" w:eastAsia="Arial" w:hAnsi="High Tower Text" w:cs="Arial"/>
          <w:szCs w:val="24"/>
        </w:rPr>
        <w:t>; (c) publicações disponíveis na íntegra; e (d) textos publicados no período delimitado. Foram excluídos estudos duplicados, relatos de caso isolados sem discussão sistêmica e publicações que não abordassem aspectos relacionados à organização da resposta sanitária ou à governança em saúde.</w:t>
      </w:r>
    </w:p>
    <w:p w14:paraId="6E141D8A" w14:textId="77777777" w:rsidR="00243910" w:rsidRPr="00243910" w:rsidRDefault="00243910" w:rsidP="00243910">
      <w:pPr>
        <w:spacing w:line="360" w:lineRule="auto"/>
        <w:ind w:firstLine="709"/>
        <w:rPr>
          <w:rFonts w:ascii="High Tower Text" w:eastAsia="Arial" w:hAnsi="High Tower Text" w:cs="Arial"/>
          <w:szCs w:val="24"/>
        </w:rPr>
      </w:pPr>
      <w:r w:rsidRPr="00243910">
        <w:rPr>
          <w:rFonts w:ascii="High Tower Text" w:eastAsia="Arial" w:hAnsi="High Tower Text" w:cs="Arial"/>
          <w:szCs w:val="24"/>
        </w:rPr>
        <w:t xml:space="preserve">A seleção dos materiais ocorreu em três etapas: (1) leitura dos títulos e resumos para verificação da pertinência temática; (2) leitura na íntegra dos textos elegíveis; e (3) organização </w:t>
      </w:r>
      <w:r w:rsidRPr="00243910">
        <w:rPr>
          <w:rFonts w:ascii="High Tower Text" w:eastAsia="Arial" w:hAnsi="High Tower Text" w:cs="Arial"/>
          <w:szCs w:val="24"/>
        </w:rPr>
        <w:lastRenderedPageBreak/>
        <w:t>e categorização dos conteúdos conforme eixos analíticos previamente definidos. Os eixos contemplaram: (i) contexto epidemiológico e evolução da emergência; (</w:t>
      </w:r>
      <w:proofErr w:type="spellStart"/>
      <w:r w:rsidRPr="00243910">
        <w:rPr>
          <w:rFonts w:ascii="High Tower Text" w:eastAsia="Arial" w:hAnsi="High Tower Text" w:cs="Arial"/>
          <w:szCs w:val="24"/>
        </w:rPr>
        <w:t>ii</w:t>
      </w:r>
      <w:proofErr w:type="spellEnd"/>
      <w:r w:rsidRPr="00243910">
        <w:rPr>
          <w:rFonts w:ascii="High Tower Text" w:eastAsia="Arial" w:hAnsi="High Tower Text" w:cs="Arial"/>
          <w:szCs w:val="24"/>
        </w:rPr>
        <w:t>) marcos normativos e instrumentos de governança sanitária; (</w:t>
      </w:r>
      <w:proofErr w:type="spellStart"/>
      <w:r w:rsidRPr="00243910">
        <w:rPr>
          <w:rFonts w:ascii="High Tower Text" w:eastAsia="Arial" w:hAnsi="High Tower Text" w:cs="Arial"/>
          <w:szCs w:val="24"/>
        </w:rPr>
        <w:t>iii</w:t>
      </w:r>
      <w:proofErr w:type="spellEnd"/>
      <w:r w:rsidRPr="00243910">
        <w:rPr>
          <w:rFonts w:ascii="High Tower Text" w:eastAsia="Arial" w:hAnsi="High Tower Text" w:cs="Arial"/>
          <w:szCs w:val="24"/>
        </w:rPr>
        <w:t>) organização da vigilância e da rede assistencial; e (</w:t>
      </w:r>
      <w:proofErr w:type="spellStart"/>
      <w:r w:rsidRPr="00243910">
        <w:rPr>
          <w:rFonts w:ascii="High Tower Text" w:eastAsia="Arial" w:hAnsi="High Tower Text" w:cs="Arial"/>
          <w:szCs w:val="24"/>
        </w:rPr>
        <w:t>iv</w:t>
      </w:r>
      <w:proofErr w:type="spellEnd"/>
      <w:r w:rsidRPr="00243910">
        <w:rPr>
          <w:rFonts w:ascii="High Tower Text" w:eastAsia="Arial" w:hAnsi="High Tower Text" w:cs="Arial"/>
          <w:szCs w:val="24"/>
        </w:rPr>
        <w:t>) desafios estruturais e perspectivas para o fortalecimento do sistema de saúde.</w:t>
      </w:r>
    </w:p>
    <w:p w14:paraId="14BE2F2C" w14:textId="77777777" w:rsidR="00243910" w:rsidRPr="00243910" w:rsidRDefault="00243910" w:rsidP="00243910">
      <w:pPr>
        <w:spacing w:line="360" w:lineRule="auto"/>
        <w:ind w:firstLine="709"/>
        <w:rPr>
          <w:rFonts w:ascii="High Tower Text" w:eastAsia="Arial" w:hAnsi="High Tower Text" w:cs="Arial"/>
          <w:szCs w:val="24"/>
        </w:rPr>
      </w:pPr>
      <w:r w:rsidRPr="00243910">
        <w:rPr>
          <w:rFonts w:ascii="High Tower Text" w:eastAsia="Arial" w:hAnsi="High Tower Text" w:cs="Arial"/>
          <w:szCs w:val="24"/>
        </w:rPr>
        <w:t xml:space="preserve">A análise dos dados foi conduzida por meio de técnica de análise de conteúdo temática, permitindo a identificação de convergências, divergências e lacunas nas estratégias adotadas no cenário nacional e internacional. Os documentos normativos brasileiros, como a Portaria GM/MS nº 1.102/2022, o Guia de Vigilância Epidemiológica e o Plano de Contingência Nacional para infecção humana pelo vírus </w:t>
      </w:r>
      <w:proofErr w:type="spellStart"/>
      <w:r w:rsidRPr="00243910">
        <w:rPr>
          <w:rFonts w:ascii="High Tower Text" w:eastAsia="Arial" w:hAnsi="High Tower Text" w:cs="Arial"/>
          <w:szCs w:val="24"/>
        </w:rPr>
        <w:t>Monkeypox</w:t>
      </w:r>
      <w:proofErr w:type="spellEnd"/>
      <w:r w:rsidRPr="00243910">
        <w:rPr>
          <w:rFonts w:ascii="High Tower Text" w:eastAsia="Arial" w:hAnsi="High Tower Text" w:cs="Arial"/>
          <w:szCs w:val="24"/>
        </w:rPr>
        <w:t>, foram examinados à luz das recomendações internacionais e das evidências científicas recentes, buscando-se compreender o grau de alinhamento entre diretrizes globais e implementação nacional.</w:t>
      </w:r>
    </w:p>
    <w:p w14:paraId="5F245E29" w14:textId="77777777" w:rsidR="00243910" w:rsidRPr="00243910" w:rsidRDefault="00243910" w:rsidP="00243910">
      <w:pPr>
        <w:spacing w:line="360" w:lineRule="auto"/>
        <w:ind w:firstLine="709"/>
        <w:rPr>
          <w:rFonts w:ascii="High Tower Text" w:eastAsia="Arial" w:hAnsi="High Tower Text" w:cs="Arial"/>
          <w:szCs w:val="24"/>
        </w:rPr>
      </w:pPr>
      <w:r w:rsidRPr="00243910">
        <w:rPr>
          <w:rFonts w:ascii="High Tower Text" w:eastAsia="Arial" w:hAnsi="High Tower Text" w:cs="Arial"/>
          <w:szCs w:val="24"/>
        </w:rPr>
        <w:t>Para assegurar rigor metodológico, foram adotados os seguintes procedimentos: (a) definição prévia de critérios de inclusão e exclusão; (b) utilização de múltiplas bases de dados; (c) registro sistemático das etapas de busca e seleção; e (d) categorização temática fundamentada em referencial teórico sobre governança em saúde e emergências sanitárias. Ressalta-se que, por se tratar de estudo baseado em dados secundários de domínio público, não houve necessidade de submissão a Comitê de Ética em Pesquisa, conforme as normativas vigentes para pesquisas que não envolvem seres humanos diretamente.</w:t>
      </w:r>
    </w:p>
    <w:p w14:paraId="72102DF5" w14:textId="77777777" w:rsidR="00243910" w:rsidRPr="00243910" w:rsidRDefault="00243910" w:rsidP="00243910">
      <w:pPr>
        <w:spacing w:before="100" w:beforeAutospacing="1" w:after="100" w:afterAutospacing="1"/>
        <w:rPr>
          <w:rFonts w:ascii="High Tower Text" w:eastAsia="Arial" w:hAnsi="High Tower Text" w:cs="Arial"/>
          <w:szCs w:val="24"/>
        </w:rPr>
      </w:pPr>
      <w:r w:rsidRPr="00243910">
        <w:rPr>
          <w:rFonts w:ascii="High Tower Text" w:eastAsia="Arial" w:hAnsi="High Tower Text" w:cs="Arial"/>
          <w:b/>
          <w:bCs/>
          <w:szCs w:val="24"/>
        </w:rPr>
        <w:t>RESULTADOS</w:t>
      </w:r>
    </w:p>
    <w:p w14:paraId="71C00317" w14:textId="77777777" w:rsidR="00243910" w:rsidRPr="00243910" w:rsidRDefault="00243910" w:rsidP="00243910">
      <w:pPr>
        <w:spacing w:line="360" w:lineRule="auto"/>
        <w:ind w:firstLine="709"/>
        <w:rPr>
          <w:rFonts w:ascii="High Tower Text" w:eastAsia="Arial" w:hAnsi="High Tower Text" w:cs="Arial"/>
          <w:szCs w:val="24"/>
        </w:rPr>
      </w:pPr>
      <w:r w:rsidRPr="00243910">
        <w:rPr>
          <w:rFonts w:ascii="High Tower Text" w:eastAsia="Arial" w:hAnsi="High Tower Text" w:cs="Arial"/>
          <w:szCs w:val="24"/>
        </w:rPr>
        <w:t xml:space="preserve">A análise narrativa das evidências selecionadas demonstra que a emergência da </w:t>
      </w:r>
      <w:proofErr w:type="spellStart"/>
      <w:r w:rsidRPr="00243910">
        <w:rPr>
          <w:rFonts w:ascii="High Tower Text" w:eastAsia="Arial" w:hAnsi="High Tower Text" w:cs="Arial"/>
          <w:szCs w:val="24"/>
        </w:rPr>
        <w:t>Monkeypox</w:t>
      </w:r>
      <w:proofErr w:type="spellEnd"/>
      <w:r w:rsidRPr="00243910">
        <w:rPr>
          <w:rFonts w:ascii="High Tower Text" w:eastAsia="Arial" w:hAnsi="High Tower Text" w:cs="Arial"/>
          <w:szCs w:val="24"/>
        </w:rPr>
        <w:t xml:space="preserve">, a partir de 2022, configurou um evento sanitário de ampla repercussão internacional, com impactos diretos sobre a organização dos sistemas de saúde e sobre os arranjos de governança sanitária. A declaração de Emergência de Saúde Pública de Importância Internacional pela World Health </w:t>
      </w:r>
      <w:proofErr w:type="spellStart"/>
      <w:r w:rsidRPr="00243910">
        <w:rPr>
          <w:rFonts w:ascii="High Tower Text" w:eastAsia="Arial" w:hAnsi="High Tower Text" w:cs="Arial"/>
          <w:szCs w:val="24"/>
        </w:rPr>
        <w:t>Organization</w:t>
      </w:r>
      <w:proofErr w:type="spellEnd"/>
      <w:r w:rsidRPr="00243910">
        <w:rPr>
          <w:rFonts w:ascii="High Tower Text" w:eastAsia="Arial" w:hAnsi="High Tower Text" w:cs="Arial"/>
          <w:szCs w:val="24"/>
        </w:rPr>
        <w:t xml:space="preserve"> representou um marco político-sanitário fundamental, ao reconhecer a disseminação multicêntrica do vírus em países não endêmicos e demandar respostas coordenadas entre nações (World Health </w:t>
      </w:r>
      <w:proofErr w:type="spellStart"/>
      <w:r w:rsidRPr="00243910">
        <w:rPr>
          <w:rFonts w:ascii="High Tower Text" w:eastAsia="Arial" w:hAnsi="High Tower Text" w:cs="Arial"/>
          <w:szCs w:val="24"/>
        </w:rPr>
        <w:t>Organization</w:t>
      </w:r>
      <w:proofErr w:type="spellEnd"/>
      <w:r w:rsidRPr="00243910">
        <w:rPr>
          <w:rFonts w:ascii="High Tower Text" w:eastAsia="Arial" w:hAnsi="High Tower Text" w:cs="Arial"/>
          <w:szCs w:val="24"/>
        </w:rPr>
        <w:t>, 2022; Organização Mundial da Saúde, 2022). Esse reconhecimento internacional impulsionou a adoção de medidas normativas, a intensificação da vigilância epidemiológica e a mobilização de recursos técnicos e financeiros.</w:t>
      </w:r>
    </w:p>
    <w:p w14:paraId="6E43898E" w14:textId="77777777" w:rsidR="00243910" w:rsidRPr="00243910" w:rsidRDefault="00243910" w:rsidP="00243910">
      <w:pPr>
        <w:spacing w:line="360" w:lineRule="auto"/>
        <w:ind w:firstLine="709"/>
        <w:rPr>
          <w:rFonts w:ascii="High Tower Text" w:eastAsia="Arial" w:hAnsi="High Tower Text" w:cs="Arial"/>
          <w:szCs w:val="24"/>
        </w:rPr>
      </w:pPr>
      <w:r w:rsidRPr="00243910">
        <w:rPr>
          <w:rFonts w:ascii="High Tower Text" w:eastAsia="Arial" w:hAnsi="High Tower Text" w:cs="Arial"/>
          <w:szCs w:val="24"/>
        </w:rPr>
        <w:t xml:space="preserve">No campo epidemiológico, os estudos evidenciam mudanças relevantes no padrão de transmissão. Historicamente associada à transmissão zoonótica em regiões da África, a doença </w:t>
      </w:r>
      <w:r w:rsidRPr="00243910">
        <w:rPr>
          <w:rFonts w:ascii="High Tower Text" w:eastAsia="Arial" w:hAnsi="High Tower Text" w:cs="Arial"/>
          <w:szCs w:val="24"/>
        </w:rPr>
        <w:lastRenderedPageBreak/>
        <w:t>passou a apresentar predominância de transmissão interpessoal em ambientes urbanos, com cadeias sustentadas fora do continente africano (</w:t>
      </w:r>
      <w:proofErr w:type="spellStart"/>
      <w:r w:rsidRPr="00243910">
        <w:rPr>
          <w:rFonts w:ascii="High Tower Text" w:eastAsia="Arial" w:hAnsi="High Tower Text" w:cs="Arial"/>
          <w:szCs w:val="24"/>
        </w:rPr>
        <w:t>Jadhav</w:t>
      </w:r>
      <w:proofErr w:type="spellEnd"/>
      <w:r w:rsidRPr="00243910">
        <w:rPr>
          <w:rFonts w:ascii="High Tower Text" w:eastAsia="Arial" w:hAnsi="High Tower Text" w:cs="Arial"/>
          <w:szCs w:val="24"/>
        </w:rPr>
        <w:t xml:space="preserve"> </w:t>
      </w:r>
      <w:r w:rsidRPr="00243910">
        <w:rPr>
          <w:rFonts w:ascii="High Tower Text" w:eastAsia="Arial" w:hAnsi="High Tower Text" w:cs="Arial"/>
          <w:i/>
          <w:iCs/>
          <w:szCs w:val="24"/>
        </w:rPr>
        <w:t>et al</w:t>
      </w:r>
      <w:r w:rsidRPr="00243910">
        <w:rPr>
          <w:rFonts w:ascii="High Tower Text" w:eastAsia="Arial" w:hAnsi="High Tower Text" w:cs="Arial"/>
          <w:szCs w:val="24"/>
        </w:rPr>
        <w:t xml:space="preserve">., 2025). Além disso, foram descritas manifestações clínicas atípicas, com lesões localizadas e sintomas menos exuberantes, o que dificultou o diagnóstico precoce e favoreceu a disseminação inicial (Fonseca </w:t>
      </w:r>
      <w:r w:rsidRPr="00243910">
        <w:rPr>
          <w:rFonts w:ascii="High Tower Text" w:eastAsia="Arial" w:hAnsi="High Tower Text" w:cs="Arial"/>
          <w:i/>
          <w:iCs/>
          <w:szCs w:val="24"/>
        </w:rPr>
        <w:t>et al</w:t>
      </w:r>
      <w:r w:rsidRPr="00243910">
        <w:rPr>
          <w:rFonts w:ascii="High Tower Text" w:eastAsia="Arial" w:hAnsi="High Tower Text" w:cs="Arial"/>
          <w:szCs w:val="24"/>
        </w:rPr>
        <w:t>., 2025). Esse cenário exigiu atualização constante das definições de caso, ampliação da testagem laboratorial e qualificação dos profissionais de saúde para reconhecimento clínico oportuno.</w:t>
      </w:r>
    </w:p>
    <w:p w14:paraId="300104B3" w14:textId="77777777" w:rsidR="00243910" w:rsidRPr="00243910" w:rsidRDefault="00243910" w:rsidP="00243910">
      <w:pPr>
        <w:spacing w:line="360" w:lineRule="auto"/>
        <w:ind w:firstLine="709"/>
        <w:rPr>
          <w:rFonts w:ascii="High Tower Text" w:eastAsia="Arial" w:hAnsi="High Tower Text" w:cs="Arial"/>
          <w:szCs w:val="24"/>
        </w:rPr>
      </w:pPr>
      <w:r w:rsidRPr="00243910">
        <w:rPr>
          <w:rFonts w:ascii="High Tower Text" w:eastAsia="Arial" w:hAnsi="High Tower Text" w:cs="Arial"/>
          <w:szCs w:val="24"/>
        </w:rPr>
        <w:t xml:space="preserve">No Brasil, a confirmação dos primeiros casos foi seguida por rápida disseminação em diferentes unidades federativas. Evidências apontam múltiplas introduções do vírus no território nacional e estabelecimento de transmissão local sustentada, particularmente na região Sul, indicando circulação comunitária e desafios para interrupção das cadeias de transmissão (Godinho </w:t>
      </w:r>
      <w:r w:rsidRPr="00243910">
        <w:rPr>
          <w:rFonts w:ascii="High Tower Text" w:eastAsia="Arial" w:hAnsi="High Tower Text" w:cs="Arial"/>
          <w:i/>
          <w:iCs/>
          <w:szCs w:val="24"/>
        </w:rPr>
        <w:t>et al</w:t>
      </w:r>
      <w:r w:rsidRPr="00243910">
        <w:rPr>
          <w:rFonts w:ascii="High Tower Text" w:eastAsia="Arial" w:hAnsi="High Tower Text" w:cs="Arial"/>
          <w:szCs w:val="24"/>
        </w:rPr>
        <w:t>., 2025). Esse contexto evidenciou fragilidades estruturais na vigilância epidemiológica e na capacidade laboratorial em determinadas regiões, ao mesmo tempo em que destacou a importância da integração entre vigilância e atenção à saúde.</w:t>
      </w:r>
    </w:p>
    <w:p w14:paraId="321E0119" w14:textId="77777777" w:rsidR="00243910" w:rsidRPr="00243910" w:rsidRDefault="00243910" w:rsidP="00243910">
      <w:pPr>
        <w:spacing w:line="360" w:lineRule="auto"/>
        <w:ind w:firstLine="709"/>
        <w:rPr>
          <w:rFonts w:ascii="High Tower Text" w:eastAsia="Arial" w:hAnsi="High Tower Text" w:cs="Arial"/>
          <w:szCs w:val="24"/>
        </w:rPr>
      </w:pPr>
      <w:r w:rsidRPr="00243910">
        <w:rPr>
          <w:rFonts w:ascii="High Tower Text" w:eastAsia="Arial" w:hAnsi="High Tower Text" w:cs="Arial"/>
          <w:szCs w:val="24"/>
        </w:rPr>
        <w:t xml:space="preserve">A resposta normativa nacional foi formalizada por meio da Portaria GM/MS nº 1.102/2022, que declarou Emergência em Saúde Pública de Importância Nacional (ESPIN), possibilitando a adoção de medidas excepcionais de enfrentamento (Brasil, 2022a). Em consonância com essa declaração, foram publicados o Guia de Vigilância Epidemiológica e o Plano de Contingência Nacional para infecção humana pelo vírus </w:t>
      </w:r>
      <w:proofErr w:type="spellStart"/>
      <w:r w:rsidRPr="00243910">
        <w:rPr>
          <w:rFonts w:ascii="High Tower Text" w:eastAsia="Arial" w:hAnsi="High Tower Text" w:cs="Arial"/>
          <w:szCs w:val="24"/>
        </w:rPr>
        <w:t>Monkeypox</w:t>
      </w:r>
      <w:proofErr w:type="spellEnd"/>
      <w:r w:rsidRPr="00243910">
        <w:rPr>
          <w:rFonts w:ascii="High Tower Text" w:eastAsia="Arial" w:hAnsi="High Tower Text" w:cs="Arial"/>
          <w:szCs w:val="24"/>
        </w:rPr>
        <w:t>, os quais estabeleceram fluxos de notificação imediata, investigação epidemiológica, rastreamento de contatos, isolamento de casos e orientações para manejo clínico (Brasil, 2022b; Brasil, 2022c). Essas iniciativas demonstram alinhamento às recomendações da Organização Pan-Americana da Saúde, que enfatizam a preparação, vigilância ativa e coordenação intersetorial (Organização Pan-Americana da Saúde, 2022).</w:t>
      </w:r>
    </w:p>
    <w:p w14:paraId="441CED28" w14:textId="77777777" w:rsidR="00243910" w:rsidRPr="00243910" w:rsidRDefault="00243910" w:rsidP="00243910">
      <w:pPr>
        <w:spacing w:line="360" w:lineRule="auto"/>
        <w:ind w:firstLine="709"/>
        <w:rPr>
          <w:rFonts w:ascii="High Tower Text" w:eastAsia="Arial" w:hAnsi="High Tower Text" w:cs="Arial"/>
          <w:szCs w:val="24"/>
        </w:rPr>
      </w:pPr>
      <w:r w:rsidRPr="00243910">
        <w:rPr>
          <w:rFonts w:ascii="High Tower Text" w:eastAsia="Arial" w:hAnsi="High Tower Text" w:cs="Arial"/>
          <w:szCs w:val="24"/>
        </w:rPr>
        <w:t>A Agência Nacional de Vigilância Sanitária complementou as ações ao publicar nota técnica com orientações voltadas à prevenção e controle em serviços de saúde e pontos de entrada no país, incluindo protocolos de biossegurança, uso de equipamentos de proteção individual e manejo de resíduos (Agência Nacional de Vigilância Sanitária, 2022). Apesar da celeridade normativa, estudos indicam que a implementação das diretrizes apresentou heterogeneidade regional, refletindo desigualdades estruturais e limitações de recursos humanos e tecnológicos (Boing</w:t>
      </w:r>
      <w:r w:rsidRPr="00243910">
        <w:rPr>
          <w:rFonts w:ascii="High Tower Text" w:eastAsia="Arial" w:hAnsi="High Tower Text" w:cs="Arial"/>
          <w:i/>
          <w:iCs/>
          <w:szCs w:val="24"/>
        </w:rPr>
        <w:t xml:space="preserve"> et al</w:t>
      </w:r>
      <w:r w:rsidRPr="00243910">
        <w:rPr>
          <w:rFonts w:ascii="High Tower Text" w:eastAsia="Arial" w:hAnsi="High Tower Text" w:cs="Arial"/>
          <w:szCs w:val="24"/>
        </w:rPr>
        <w:t>., 2022; Macedo; Maciel, 2023).</w:t>
      </w:r>
    </w:p>
    <w:p w14:paraId="24C2DF8A" w14:textId="77777777" w:rsidR="00243910" w:rsidRPr="00243910" w:rsidRDefault="00243910" w:rsidP="00243910">
      <w:pPr>
        <w:spacing w:line="360" w:lineRule="auto"/>
        <w:ind w:firstLine="709"/>
        <w:rPr>
          <w:rFonts w:ascii="High Tower Text" w:eastAsia="Arial" w:hAnsi="High Tower Text" w:cs="Arial"/>
          <w:szCs w:val="24"/>
        </w:rPr>
      </w:pPr>
      <w:r w:rsidRPr="00243910">
        <w:rPr>
          <w:rFonts w:ascii="High Tower Text" w:eastAsia="Arial" w:hAnsi="High Tower Text" w:cs="Arial"/>
          <w:szCs w:val="24"/>
        </w:rPr>
        <w:t xml:space="preserve">No plano internacional, análises comparativas ressaltam que respostas mais eficazes estiveram associadas à detecção precoce, notificação tempestiva e ativação rápida de </w:t>
      </w:r>
      <w:r w:rsidRPr="00243910">
        <w:rPr>
          <w:rFonts w:ascii="High Tower Text" w:eastAsia="Arial" w:hAnsi="High Tower Text" w:cs="Arial"/>
          <w:szCs w:val="24"/>
        </w:rPr>
        <w:lastRenderedPageBreak/>
        <w:t xml:space="preserve">mecanismos de resposta (Aziz </w:t>
      </w:r>
      <w:r w:rsidRPr="00243910">
        <w:rPr>
          <w:rFonts w:ascii="High Tower Text" w:eastAsia="Arial" w:hAnsi="High Tower Text" w:cs="Arial"/>
          <w:i/>
          <w:iCs/>
          <w:szCs w:val="24"/>
        </w:rPr>
        <w:t>et al.,</w:t>
      </w:r>
      <w:r w:rsidRPr="00243910">
        <w:rPr>
          <w:rFonts w:ascii="High Tower Text" w:eastAsia="Arial" w:hAnsi="High Tower Text" w:cs="Arial"/>
          <w:szCs w:val="24"/>
        </w:rPr>
        <w:t xml:space="preserve"> 2025). A meta 7-1-7 foi destacada como ferramenta estratégica para fortalecer a prontidão frente a emergências sanitárias, ao estabelecer parâmetros objetivos para identificação e contenção de surtos (Bochner </w:t>
      </w:r>
      <w:r w:rsidRPr="00243910">
        <w:rPr>
          <w:rFonts w:ascii="High Tower Text" w:eastAsia="Arial" w:hAnsi="High Tower Text" w:cs="Arial"/>
          <w:i/>
          <w:iCs/>
          <w:szCs w:val="24"/>
        </w:rPr>
        <w:t>et al</w:t>
      </w:r>
      <w:r w:rsidRPr="00243910">
        <w:rPr>
          <w:rFonts w:ascii="High Tower Text" w:eastAsia="Arial" w:hAnsi="High Tower Text" w:cs="Arial"/>
          <w:szCs w:val="24"/>
        </w:rPr>
        <w:t>., 2023). Entretanto, sua implementação depende de sistemas de informação integrados, infraestrutura laboratorial robusta e governança articulada, condições ainda desafiadoras em diversos contextos.</w:t>
      </w:r>
    </w:p>
    <w:p w14:paraId="630679F6" w14:textId="77777777" w:rsidR="00243910" w:rsidRPr="00243910" w:rsidRDefault="00243910" w:rsidP="00243910">
      <w:pPr>
        <w:spacing w:line="360" w:lineRule="auto"/>
        <w:ind w:firstLine="709"/>
        <w:rPr>
          <w:rFonts w:ascii="High Tower Text" w:eastAsia="Arial" w:hAnsi="High Tower Text" w:cs="Arial"/>
          <w:szCs w:val="24"/>
        </w:rPr>
      </w:pPr>
      <w:r w:rsidRPr="00243910">
        <w:rPr>
          <w:rFonts w:ascii="High Tower Text" w:eastAsia="Arial" w:hAnsi="High Tower Text" w:cs="Arial"/>
          <w:szCs w:val="24"/>
        </w:rPr>
        <w:t xml:space="preserve">Outro eixo central identificado refere-se à comunicação de risco e ao engajamento comunitário. Experiências em cenários de vulnerabilidade demonstram que estratégias participativas e culturalmente sensíveis são determinantes para reduzir estigmatização e ampliar adesão às medidas preventivas (Mambo </w:t>
      </w:r>
      <w:r w:rsidRPr="00243910">
        <w:rPr>
          <w:rFonts w:ascii="High Tower Text" w:eastAsia="Arial" w:hAnsi="High Tower Text" w:cs="Arial"/>
          <w:i/>
          <w:iCs/>
          <w:szCs w:val="24"/>
        </w:rPr>
        <w:t>et al.,</w:t>
      </w:r>
      <w:r w:rsidRPr="00243910">
        <w:rPr>
          <w:rFonts w:ascii="High Tower Text" w:eastAsia="Arial" w:hAnsi="High Tower Text" w:cs="Arial"/>
          <w:szCs w:val="24"/>
        </w:rPr>
        <w:t xml:space="preserve"> 2025). No Brasil, análises de impacto das políticas públicas apontam avanços na institucionalização da resposta, mas indicam a necessidade de aprimorar mecanismos de avaliação contínua, transparência e participação social (Santos; Sant’Anna, 2024).</w:t>
      </w:r>
    </w:p>
    <w:p w14:paraId="0A81C17D" w14:textId="77777777" w:rsidR="00243910" w:rsidRPr="00243910" w:rsidRDefault="00243910" w:rsidP="00243910">
      <w:pPr>
        <w:spacing w:line="360" w:lineRule="auto"/>
        <w:ind w:firstLine="709"/>
        <w:rPr>
          <w:rFonts w:ascii="High Tower Text" w:eastAsia="Arial" w:hAnsi="High Tower Text" w:cs="Arial"/>
          <w:szCs w:val="24"/>
        </w:rPr>
      </w:pPr>
      <w:r w:rsidRPr="00243910">
        <w:rPr>
          <w:rFonts w:ascii="High Tower Text" w:eastAsia="Arial" w:hAnsi="High Tower Text" w:cs="Arial"/>
          <w:szCs w:val="24"/>
        </w:rPr>
        <w:t xml:space="preserve">Adicionalmente, a literatura destaca que a emergência da </w:t>
      </w:r>
      <w:proofErr w:type="spellStart"/>
      <w:r w:rsidRPr="00243910">
        <w:rPr>
          <w:rFonts w:ascii="High Tower Text" w:eastAsia="Arial" w:hAnsi="High Tower Text" w:cs="Arial"/>
          <w:szCs w:val="24"/>
        </w:rPr>
        <w:t>Monkeypox</w:t>
      </w:r>
      <w:proofErr w:type="spellEnd"/>
      <w:r w:rsidRPr="00243910">
        <w:rPr>
          <w:rFonts w:ascii="High Tower Text" w:eastAsia="Arial" w:hAnsi="High Tower Text" w:cs="Arial"/>
          <w:szCs w:val="24"/>
        </w:rPr>
        <w:t xml:space="preserve"> deve ser compreendida à luz dos determinantes sociais da saúde. A persistência de desigualdades socioeconômicas, condições precárias de moradia e acesso limitado a serviços de saúde potencializam a disseminação de doenças infecciosas (</w:t>
      </w:r>
      <w:proofErr w:type="spellStart"/>
      <w:r w:rsidRPr="00243910">
        <w:rPr>
          <w:rFonts w:ascii="High Tower Text" w:eastAsia="Arial" w:hAnsi="High Tower Text" w:cs="Arial"/>
          <w:szCs w:val="24"/>
        </w:rPr>
        <w:t>Tambo</w:t>
      </w:r>
      <w:proofErr w:type="spellEnd"/>
      <w:r w:rsidRPr="00243910">
        <w:rPr>
          <w:rFonts w:ascii="High Tower Text" w:eastAsia="Arial" w:hAnsi="High Tower Text" w:cs="Arial"/>
          <w:szCs w:val="24"/>
        </w:rPr>
        <w:t>; Al-</w:t>
      </w:r>
      <w:proofErr w:type="spellStart"/>
      <w:r w:rsidRPr="00243910">
        <w:rPr>
          <w:rFonts w:ascii="High Tower Text" w:eastAsia="Arial" w:hAnsi="High Tower Text" w:cs="Arial"/>
          <w:szCs w:val="24"/>
        </w:rPr>
        <w:t>Nazawi</w:t>
      </w:r>
      <w:proofErr w:type="spellEnd"/>
      <w:r w:rsidRPr="00243910">
        <w:rPr>
          <w:rFonts w:ascii="High Tower Text" w:eastAsia="Arial" w:hAnsi="High Tower Text" w:cs="Arial"/>
          <w:szCs w:val="24"/>
        </w:rPr>
        <w:t xml:space="preserve">, 2022). Nesse contexto, a abordagem </w:t>
      </w:r>
      <w:proofErr w:type="spellStart"/>
      <w:r w:rsidRPr="00243910">
        <w:rPr>
          <w:rFonts w:ascii="High Tower Text" w:eastAsia="Arial" w:hAnsi="High Tower Text" w:cs="Arial"/>
          <w:szCs w:val="24"/>
        </w:rPr>
        <w:t>One</w:t>
      </w:r>
      <w:proofErr w:type="spellEnd"/>
      <w:r w:rsidRPr="00243910">
        <w:rPr>
          <w:rFonts w:ascii="High Tower Text" w:eastAsia="Arial" w:hAnsi="High Tower Text" w:cs="Arial"/>
          <w:szCs w:val="24"/>
        </w:rPr>
        <w:t xml:space="preserve"> Health emerge como estratégia essencial para prevenção e controle de zoonoses, ao integrar dimensões humanas, animais e ambientais na formulação de políticas públicas (</w:t>
      </w:r>
      <w:proofErr w:type="spellStart"/>
      <w:r w:rsidRPr="00243910">
        <w:rPr>
          <w:rFonts w:ascii="High Tower Text" w:eastAsia="Arial" w:hAnsi="High Tower Text" w:cs="Arial"/>
          <w:szCs w:val="24"/>
        </w:rPr>
        <w:t>Ranakoti</w:t>
      </w:r>
      <w:proofErr w:type="spellEnd"/>
      <w:r w:rsidRPr="00243910">
        <w:rPr>
          <w:rFonts w:ascii="High Tower Text" w:eastAsia="Arial" w:hAnsi="High Tower Text" w:cs="Arial"/>
          <w:szCs w:val="24"/>
        </w:rPr>
        <w:t xml:space="preserve"> </w:t>
      </w:r>
      <w:r w:rsidRPr="00243910">
        <w:rPr>
          <w:rFonts w:ascii="High Tower Text" w:eastAsia="Arial" w:hAnsi="High Tower Text" w:cs="Arial"/>
          <w:i/>
          <w:iCs/>
          <w:szCs w:val="24"/>
        </w:rPr>
        <w:t>et al</w:t>
      </w:r>
      <w:r w:rsidRPr="00243910">
        <w:rPr>
          <w:rFonts w:ascii="High Tower Text" w:eastAsia="Arial" w:hAnsi="High Tower Text" w:cs="Arial"/>
          <w:szCs w:val="24"/>
        </w:rPr>
        <w:t>., 2025).</w:t>
      </w:r>
    </w:p>
    <w:p w14:paraId="2EE89A33" w14:textId="77777777" w:rsidR="00243910" w:rsidRPr="00243910" w:rsidRDefault="00243910" w:rsidP="00243910">
      <w:pPr>
        <w:spacing w:line="360" w:lineRule="auto"/>
        <w:ind w:firstLine="709"/>
        <w:rPr>
          <w:rFonts w:ascii="High Tower Text" w:eastAsia="Arial" w:hAnsi="High Tower Text" w:cs="Arial"/>
          <w:szCs w:val="24"/>
        </w:rPr>
      </w:pPr>
      <w:r w:rsidRPr="00243910">
        <w:rPr>
          <w:rFonts w:ascii="High Tower Text" w:eastAsia="Arial" w:hAnsi="High Tower Text" w:cs="Arial"/>
          <w:szCs w:val="24"/>
        </w:rPr>
        <w:t>Dessa forma, a síntese dos achados permite identificar avanços normativos e institucionais relevantes, coexistindo com desafios estruturais e operacionais. Para sistematizar esses resultados, o Quadro 1 apresenta a organização dos principais achados da revisão narrativa, distribuídos em eixos temáticos relacionados ao contexto epidemiológico, resposta normativa, desafios operacionais e perspectivas estratégicas.</w:t>
      </w:r>
    </w:p>
    <w:p w14:paraId="2C705C70" w14:textId="77777777" w:rsidR="00243910" w:rsidRPr="00243910" w:rsidRDefault="00243910" w:rsidP="00243910">
      <w:pPr>
        <w:spacing w:after="120"/>
        <w:jc w:val="left"/>
        <w:rPr>
          <w:rFonts w:ascii="High Tower Text" w:eastAsia="Arial" w:hAnsi="High Tower Text" w:cs="Arial"/>
          <w:sz w:val="20"/>
          <w:szCs w:val="20"/>
        </w:rPr>
      </w:pPr>
      <w:r w:rsidRPr="00243910">
        <w:rPr>
          <w:rFonts w:ascii="High Tower Text" w:eastAsia="Arial" w:hAnsi="High Tower Text" w:cs="Arial"/>
          <w:b/>
          <w:bCs/>
          <w:sz w:val="20"/>
          <w:szCs w:val="20"/>
        </w:rPr>
        <w:t>Quadro 1 –</w:t>
      </w:r>
      <w:r w:rsidRPr="00243910">
        <w:rPr>
          <w:rFonts w:ascii="High Tower Text" w:eastAsia="Arial" w:hAnsi="High Tower Text" w:cs="Arial"/>
          <w:sz w:val="20"/>
          <w:szCs w:val="20"/>
        </w:rPr>
        <w:t xml:space="preserve"> Síntese dos principais resultados da revisão narrativa sobre </w:t>
      </w:r>
      <w:proofErr w:type="spellStart"/>
      <w:r w:rsidRPr="00243910">
        <w:rPr>
          <w:rFonts w:ascii="High Tower Text" w:eastAsia="Arial" w:hAnsi="High Tower Text" w:cs="Arial"/>
          <w:sz w:val="20"/>
          <w:szCs w:val="20"/>
        </w:rPr>
        <w:t>Monkeypox</w:t>
      </w:r>
      <w:proofErr w:type="spellEnd"/>
      <w:r w:rsidRPr="00243910">
        <w:rPr>
          <w:rFonts w:ascii="High Tower Text" w:eastAsia="Arial" w:hAnsi="High Tower Text" w:cs="Arial"/>
          <w:sz w:val="20"/>
          <w:szCs w:val="20"/>
        </w:rPr>
        <w:t xml:space="preserve"> e governança sanitária</w:t>
      </w:r>
    </w:p>
    <w:tbl>
      <w:tblPr>
        <w:tblW w:w="93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12"/>
        <w:gridCol w:w="3213"/>
        <w:gridCol w:w="2921"/>
      </w:tblGrid>
      <w:tr w:rsidR="00243910" w:rsidRPr="00243910" w14:paraId="4CF8F528" w14:textId="77777777" w:rsidTr="00DD734F">
        <w:tc>
          <w:tcPr>
            <w:tcW w:w="3212" w:type="dxa"/>
            <w:tcMar>
              <w:top w:w="100" w:type="dxa"/>
              <w:left w:w="100" w:type="dxa"/>
              <w:bottom w:w="100" w:type="dxa"/>
              <w:right w:w="100" w:type="dxa"/>
            </w:tcMar>
          </w:tcPr>
          <w:p w14:paraId="6D96FA38" w14:textId="09E0E181" w:rsidR="00243910" w:rsidRPr="00243910" w:rsidRDefault="00243910" w:rsidP="00243910">
            <w:pPr>
              <w:widowControl w:val="0"/>
              <w:pBdr>
                <w:top w:val="nil"/>
                <w:left w:val="nil"/>
                <w:bottom w:val="nil"/>
                <w:right w:val="nil"/>
                <w:between w:val="nil"/>
              </w:pBdr>
              <w:jc w:val="center"/>
              <w:rPr>
                <w:rFonts w:ascii="High Tower Text" w:eastAsia="Arial" w:hAnsi="High Tower Text" w:cs="Arial"/>
                <w:b/>
                <w:bCs/>
                <w:sz w:val="20"/>
                <w:szCs w:val="20"/>
              </w:rPr>
            </w:pPr>
            <w:r w:rsidRPr="00243910">
              <w:rPr>
                <w:rFonts w:ascii="High Tower Text" w:eastAsia="Arial" w:hAnsi="High Tower Text" w:cs="Arial"/>
                <w:b/>
                <w:bCs/>
                <w:sz w:val="20"/>
                <w:szCs w:val="20"/>
              </w:rPr>
              <w:t>Eixos Analíticos</w:t>
            </w:r>
          </w:p>
        </w:tc>
        <w:tc>
          <w:tcPr>
            <w:tcW w:w="3213" w:type="dxa"/>
            <w:tcMar>
              <w:top w:w="100" w:type="dxa"/>
              <w:left w:w="100" w:type="dxa"/>
              <w:bottom w:w="100" w:type="dxa"/>
              <w:right w:w="100" w:type="dxa"/>
            </w:tcMar>
          </w:tcPr>
          <w:p w14:paraId="540A25C3" w14:textId="77777777" w:rsidR="00243910" w:rsidRPr="00243910" w:rsidRDefault="00243910" w:rsidP="00243910">
            <w:pPr>
              <w:widowControl w:val="0"/>
              <w:pBdr>
                <w:top w:val="nil"/>
                <w:left w:val="nil"/>
                <w:bottom w:val="nil"/>
                <w:right w:val="nil"/>
                <w:between w:val="nil"/>
              </w:pBdr>
              <w:jc w:val="center"/>
              <w:rPr>
                <w:rFonts w:ascii="High Tower Text" w:eastAsia="Arial" w:hAnsi="High Tower Text" w:cs="Arial"/>
                <w:b/>
                <w:bCs/>
                <w:sz w:val="20"/>
                <w:szCs w:val="20"/>
              </w:rPr>
            </w:pPr>
            <w:r w:rsidRPr="00243910">
              <w:rPr>
                <w:rFonts w:ascii="High Tower Text" w:eastAsia="Arial" w:hAnsi="High Tower Text" w:cs="Arial"/>
                <w:b/>
                <w:bCs/>
                <w:sz w:val="20"/>
                <w:szCs w:val="20"/>
              </w:rPr>
              <w:t>Síntese dos Resultados</w:t>
            </w:r>
          </w:p>
        </w:tc>
        <w:tc>
          <w:tcPr>
            <w:tcW w:w="2921" w:type="dxa"/>
            <w:tcMar>
              <w:top w:w="100" w:type="dxa"/>
              <w:left w:w="100" w:type="dxa"/>
              <w:bottom w:w="100" w:type="dxa"/>
              <w:right w:w="100" w:type="dxa"/>
            </w:tcMar>
          </w:tcPr>
          <w:p w14:paraId="24578794" w14:textId="77777777" w:rsidR="00243910" w:rsidRPr="00243910" w:rsidRDefault="00243910" w:rsidP="00243910">
            <w:pPr>
              <w:widowControl w:val="0"/>
              <w:pBdr>
                <w:top w:val="nil"/>
                <w:left w:val="nil"/>
                <w:bottom w:val="nil"/>
                <w:right w:val="nil"/>
                <w:between w:val="nil"/>
              </w:pBdr>
              <w:jc w:val="center"/>
              <w:rPr>
                <w:rFonts w:ascii="High Tower Text" w:eastAsia="Arial" w:hAnsi="High Tower Text" w:cs="Arial"/>
                <w:b/>
                <w:bCs/>
                <w:sz w:val="20"/>
                <w:szCs w:val="20"/>
              </w:rPr>
            </w:pPr>
            <w:r w:rsidRPr="00243910">
              <w:rPr>
                <w:rFonts w:ascii="High Tower Text" w:eastAsia="Arial" w:hAnsi="High Tower Text" w:cs="Arial"/>
                <w:b/>
                <w:bCs/>
                <w:sz w:val="20"/>
                <w:szCs w:val="20"/>
              </w:rPr>
              <w:t>Autor/Ano</w:t>
            </w:r>
          </w:p>
        </w:tc>
      </w:tr>
      <w:tr w:rsidR="00243910" w:rsidRPr="00194809" w14:paraId="2A1E3C3A" w14:textId="77777777" w:rsidTr="00DD734F">
        <w:tc>
          <w:tcPr>
            <w:tcW w:w="3212" w:type="dxa"/>
            <w:tcMar>
              <w:top w:w="100" w:type="dxa"/>
              <w:left w:w="100" w:type="dxa"/>
              <w:bottom w:w="100" w:type="dxa"/>
              <w:right w:w="100" w:type="dxa"/>
            </w:tcMar>
          </w:tcPr>
          <w:p w14:paraId="05E1E8CF" w14:textId="77777777" w:rsidR="00243910" w:rsidRPr="00243910" w:rsidRDefault="00243910" w:rsidP="00243910">
            <w:pPr>
              <w:widowControl w:val="0"/>
              <w:pBdr>
                <w:top w:val="nil"/>
                <w:left w:val="nil"/>
                <w:bottom w:val="nil"/>
                <w:right w:val="nil"/>
                <w:between w:val="nil"/>
              </w:pBdr>
              <w:rPr>
                <w:rFonts w:ascii="High Tower Text" w:eastAsia="Arial" w:hAnsi="High Tower Text" w:cs="Arial"/>
                <w:sz w:val="20"/>
                <w:szCs w:val="20"/>
              </w:rPr>
            </w:pPr>
            <w:r w:rsidRPr="00243910">
              <w:rPr>
                <w:rFonts w:ascii="High Tower Text" w:eastAsia="Arial" w:hAnsi="High Tower Text" w:cs="Arial"/>
                <w:sz w:val="20"/>
                <w:szCs w:val="20"/>
              </w:rPr>
              <w:t>Contexto Epidemiológico e Dinâmica de Transmissão</w:t>
            </w:r>
          </w:p>
        </w:tc>
        <w:tc>
          <w:tcPr>
            <w:tcW w:w="3213" w:type="dxa"/>
            <w:tcMar>
              <w:top w:w="100" w:type="dxa"/>
              <w:left w:w="100" w:type="dxa"/>
              <w:bottom w:w="100" w:type="dxa"/>
              <w:right w:w="100" w:type="dxa"/>
            </w:tcMar>
          </w:tcPr>
          <w:p w14:paraId="46AD088B" w14:textId="77777777" w:rsidR="00243910" w:rsidRPr="00243910" w:rsidRDefault="00243910" w:rsidP="00243910">
            <w:pPr>
              <w:widowControl w:val="0"/>
              <w:pBdr>
                <w:top w:val="nil"/>
                <w:left w:val="nil"/>
                <w:bottom w:val="nil"/>
                <w:right w:val="nil"/>
                <w:between w:val="nil"/>
              </w:pBdr>
              <w:rPr>
                <w:rFonts w:ascii="High Tower Text" w:eastAsia="Arial" w:hAnsi="High Tower Text" w:cs="Arial"/>
                <w:sz w:val="20"/>
                <w:szCs w:val="20"/>
              </w:rPr>
            </w:pPr>
            <w:r w:rsidRPr="00243910">
              <w:rPr>
                <w:rFonts w:ascii="High Tower Text" w:eastAsia="Arial" w:hAnsi="High Tower Text" w:cs="Arial"/>
                <w:sz w:val="20"/>
                <w:szCs w:val="20"/>
              </w:rPr>
              <w:t xml:space="preserve">Evidenciou-se expansão global acelerada, com estabelecimento de transmissão comunitária sustentada em países não endêmicos. Observou-se mudança do padrão epidemiológico clássico zoonótico para predominância de transmissão interpessoal em contextos urbanos, além de múltiplas introduções do vírus no território brasileiro e </w:t>
            </w:r>
            <w:r w:rsidRPr="00243910">
              <w:rPr>
                <w:rFonts w:ascii="High Tower Text" w:eastAsia="Arial" w:hAnsi="High Tower Text" w:cs="Arial"/>
                <w:sz w:val="20"/>
                <w:szCs w:val="20"/>
              </w:rPr>
              <w:lastRenderedPageBreak/>
              <w:t>circulação local persistente.</w:t>
            </w:r>
          </w:p>
        </w:tc>
        <w:tc>
          <w:tcPr>
            <w:tcW w:w="2921" w:type="dxa"/>
            <w:tcMar>
              <w:top w:w="100" w:type="dxa"/>
              <w:left w:w="100" w:type="dxa"/>
              <w:bottom w:w="100" w:type="dxa"/>
              <w:right w:w="100" w:type="dxa"/>
            </w:tcMar>
          </w:tcPr>
          <w:p w14:paraId="772D90F0" w14:textId="77777777" w:rsidR="00243910" w:rsidRPr="00243910" w:rsidRDefault="00243910" w:rsidP="00243910">
            <w:pPr>
              <w:widowControl w:val="0"/>
              <w:pBdr>
                <w:top w:val="nil"/>
                <w:left w:val="nil"/>
                <w:bottom w:val="nil"/>
                <w:right w:val="nil"/>
                <w:between w:val="nil"/>
              </w:pBdr>
              <w:rPr>
                <w:rFonts w:ascii="High Tower Text" w:eastAsia="Arial" w:hAnsi="High Tower Text" w:cs="Arial"/>
                <w:sz w:val="20"/>
                <w:szCs w:val="20"/>
                <w:lang w:val="en-US"/>
              </w:rPr>
            </w:pPr>
            <w:r w:rsidRPr="00243910">
              <w:rPr>
                <w:rFonts w:ascii="High Tower Text" w:eastAsia="Arial" w:hAnsi="High Tower Text" w:cs="Arial"/>
                <w:sz w:val="20"/>
                <w:szCs w:val="20"/>
                <w:lang w:val="en-US"/>
              </w:rPr>
              <w:lastRenderedPageBreak/>
              <w:t xml:space="preserve">World Health Organization, (2022); Jadhav </w:t>
            </w:r>
            <w:r w:rsidRPr="00243910">
              <w:rPr>
                <w:rFonts w:ascii="High Tower Text" w:eastAsia="Arial" w:hAnsi="High Tower Text" w:cs="Arial"/>
                <w:i/>
                <w:iCs/>
                <w:sz w:val="20"/>
                <w:szCs w:val="20"/>
                <w:lang w:val="en-US"/>
              </w:rPr>
              <w:t>et al</w:t>
            </w:r>
            <w:r w:rsidRPr="00243910">
              <w:rPr>
                <w:rFonts w:ascii="High Tower Text" w:eastAsia="Arial" w:hAnsi="High Tower Text" w:cs="Arial"/>
                <w:sz w:val="20"/>
                <w:szCs w:val="20"/>
                <w:lang w:val="en-US"/>
              </w:rPr>
              <w:t>., (2025); Godinho</w:t>
            </w:r>
            <w:r w:rsidRPr="00243910">
              <w:rPr>
                <w:rFonts w:ascii="High Tower Text" w:eastAsia="Arial" w:hAnsi="High Tower Text" w:cs="Arial"/>
                <w:i/>
                <w:iCs/>
                <w:sz w:val="20"/>
                <w:szCs w:val="20"/>
                <w:lang w:val="en-US"/>
              </w:rPr>
              <w:t xml:space="preserve"> et al</w:t>
            </w:r>
            <w:r w:rsidRPr="00243910">
              <w:rPr>
                <w:rFonts w:ascii="High Tower Text" w:eastAsia="Arial" w:hAnsi="High Tower Text" w:cs="Arial"/>
                <w:sz w:val="20"/>
                <w:szCs w:val="20"/>
                <w:lang w:val="en-US"/>
              </w:rPr>
              <w:t>., (2025); Fonseca et al., (2025)</w:t>
            </w:r>
          </w:p>
        </w:tc>
      </w:tr>
      <w:tr w:rsidR="00243910" w:rsidRPr="00243910" w14:paraId="5B4119C3" w14:textId="77777777" w:rsidTr="00DD734F">
        <w:tc>
          <w:tcPr>
            <w:tcW w:w="3212" w:type="dxa"/>
            <w:tcMar>
              <w:top w:w="100" w:type="dxa"/>
              <w:left w:w="100" w:type="dxa"/>
              <w:bottom w:w="100" w:type="dxa"/>
              <w:right w:w="100" w:type="dxa"/>
            </w:tcMar>
          </w:tcPr>
          <w:p w14:paraId="64F94C6B" w14:textId="77777777" w:rsidR="00243910" w:rsidRPr="00243910" w:rsidRDefault="00243910" w:rsidP="00243910">
            <w:pPr>
              <w:widowControl w:val="0"/>
              <w:pBdr>
                <w:top w:val="nil"/>
                <w:left w:val="nil"/>
                <w:bottom w:val="nil"/>
                <w:right w:val="nil"/>
                <w:between w:val="nil"/>
              </w:pBdr>
              <w:rPr>
                <w:rFonts w:ascii="High Tower Text" w:eastAsia="Arial" w:hAnsi="High Tower Text" w:cs="Arial"/>
                <w:sz w:val="20"/>
                <w:szCs w:val="20"/>
              </w:rPr>
            </w:pPr>
            <w:r w:rsidRPr="00243910">
              <w:rPr>
                <w:rFonts w:ascii="High Tower Text" w:eastAsia="Arial" w:hAnsi="High Tower Text" w:cs="Arial"/>
                <w:sz w:val="20"/>
                <w:szCs w:val="20"/>
              </w:rPr>
              <w:t>Resposta Normativa e Organização Institucional no Brasil</w:t>
            </w:r>
          </w:p>
        </w:tc>
        <w:tc>
          <w:tcPr>
            <w:tcW w:w="3213" w:type="dxa"/>
            <w:tcMar>
              <w:top w:w="100" w:type="dxa"/>
              <w:left w:w="100" w:type="dxa"/>
              <w:bottom w:w="100" w:type="dxa"/>
              <w:right w:w="100" w:type="dxa"/>
            </w:tcMar>
          </w:tcPr>
          <w:p w14:paraId="4AF58C6C" w14:textId="77777777" w:rsidR="00243910" w:rsidRPr="00243910" w:rsidRDefault="00243910" w:rsidP="00243910">
            <w:pPr>
              <w:widowControl w:val="0"/>
              <w:pBdr>
                <w:top w:val="nil"/>
                <w:left w:val="nil"/>
                <w:bottom w:val="nil"/>
                <w:right w:val="nil"/>
                <w:between w:val="nil"/>
              </w:pBdr>
              <w:rPr>
                <w:rFonts w:ascii="High Tower Text" w:eastAsia="Arial" w:hAnsi="High Tower Text" w:cs="Arial"/>
                <w:sz w:val="20"/>
                <w:szCs w:val="20"/>
              </w:rPr>
            </w:pPr>
            <w:r w:rsidRPr="00243910">
              <w:rPr>
                <w:rFonts w:ascii="High Tower Text" w:eastAsia="Arial" w:hAnsi="High Tower Text" w:cs="Arial"/>
                <w:sz w:val="20"/>
                <w:szCs w:val="20"/>
              </w:rPr>
              <w:t>Identificou-se rápida mobilização normativa com a declaração de ESPIN e publicação de instrumentos técnicos orientadores, incluindo diretrizes para notificação imediata, investigação epidemiológica, rastreamento de contatos e manejo clínico. Destaca-se alinhamento às recomendações internacionais e fortalecimento formal da articulação interfederativa.</w:t>
            </w:r>
          </w:p>
        </w:tc>
        <w:tc>
          <w:tcPr>
            <w:tcW w:w="2921" w:type="dxa"/>
            <w:tcMar>
              <w:top w:w="100" w:type="dxa"/>
              <w:left w:w="100" w:type="dxa"/>
              <w:bottom w:w="100" w:type="dxa"/>
              <w:right w:w="100" w:type="dxa"/>
            </w:tcMar>
          </w:tcPr>
          <w:p w14:paraId="4918E61F" w14:textId="77777777" w:rsidR="00243910" w:rsidRPr="00243910" w:rsidRDefault="00243910" w:rsidP="00243910">
            <w:pPr>
              <w:widowControl w:val="0"/>
              <w:pBdr>
                <w:top w:val="nil"/>
                <w:left w:val="nil"/>
                <w:bottom w:val="nil"/>
                <w:right w:val="nil"/>
                <w:between w:val="nil"/>
              </w:pBdr>
              <w:rPr>
                <w:rFonts w:ascii="High Tower Text" w:eastAsia="Arial" w:hAnsi="High Tower Text" w:cs="Arial"/>
                <w:sz w:val="20"/>
                <w:szCs w:val="20"/>
              </w:rPr>
            </w:pPr>
            <w:r w:rsidRPr="00243910">
              <w:rPr>
                <w:rFonts w:ascii="High Tower Text" w:eastAsia="Arial" w:hAnsi="High Tower Text" w:cs="Arial"/>
                <w:sz w:val="20"/>
                <w:szCs w:val="20"/>
              </w:rPr>
              <w:t>Brasil, (2022a); Brasil, (2022b); Brasil, (2022c); Organização Pan-Americana da Saúde, (2022); Agência Nacional de Vigilância Sanitária, (2022)</w:t>
            </w:r>
          </w:p>
        </w:tc>
      </w:tr>
      <w:tr w:rsidR="00243910" w:rsidRPr="00243910" w14:paraId="4D296407" w14:textId="77777777" w:rsidTr="00DD734F">
        <w:tc>
          <w:tcPr>
            <w:tcW w:w="3212" w:type="dxa"/>
            <w:tcMar>
              <w:top w:w="100" w:type="dxa"/>
              <w:left w:w="100" w:type="dxa"/>
              <w:bottom w:w="100" w:type="dxa"/>
              <w:right w:w="100" w:type="dxa"/>
            </w:tcMar>
          </w:tcPr>
          <w:p w14:paraId="6B863A42" w14:textId="77777777" w:rsidR="00243910" w:rsidRPr="00243910" w:rsidRDefault="00243910" w:rsidP="00243910">
            <w:pPr>
              <w:widowControl w:val="0"/>
              <w:pBdr>
                <w:top w:val="nil"/>
                <w:left w:val="nil"/>
                <w:bottom w:val="nil"/>
                <w:right w:val="nil"/>
                <w:between w:val="nil"/>
              </w:pBdr>
              <w:rPr>
                <w:rFonts w:ascii="High Tower Text" w:eastAsia="Arial" w:hAnsi="High Tower Text" w:cs="Arial"/>
                <w:sz w:val="20"/>
                <w:szCs w:val="20"/>
              </w:rPr>
            </w:pPr>
            <w:r w:rsidRPr="00243910">
              <w:rPr>
                <w:rFonts w:ascii="High Tower Text" w:eastAsia="Arial" w:hAnsi="High Tower Text" w:cs="Arial"/>
                <w:sz w:val="20"/>
                <w:szCs w:val="20"/>
              </w:rPr>
              <w:t>Desafios Estruturais e Operacionais da Resposta</w:t>
            </w:r>
          </w:p>
        </w:tc>
        <w:tc>
          <w:tcPr>
            <w:tcW w:w="3213" w:type="dxa"/>
            <w:tcMar>
              <w:top w:w="100" w:type="dxa"/>
              <w:left w:w="100" w:type="dxa"/>
              <w:bottom w:w="100" w:type="dxa"/>
              <w:right w:w="100" w:type="dxa"/>
            </w:tcMar>
          </w:tcPr>
          <w:p w14:paraId="1775EFD0" w14:textId="77777777" w:rsidR="00243910" w:rsidRPr="00243910" w:rsidRDefault="00243910" w:rsidP="00243910">
            <w:pPr>
              <w:widowControl w:val="0"/>
              <w:pBdr>
                <w:top w:val="nil"/>
                <w:left w:val="nil"/>
                <w:bottom w:val="nil"/>
                <w:right w:val="nil"/>
                <w:between w:val="nil"/>
              </w:pBdr>
              <w:rPr>
                <w:rFonts w:ascii="High Tower Text" w:eastAsia="Arial" w:hAnsi="High Tower Text" w:cs="Arial"/>
                <w:sz w:val="20"/>
                <w:szCs w:val="20"/>
              </w:rPr>
            </w:pPr>
            <w:r w:rsidRPr="00243910">
              <w:rPr>
                <w:rFonts w:ascii="High Tower Text" w:eastAsia="Arial" w:hAnsi="High Tower Text" w:cs="Arial"/>
                <w:sz w:val="20"/>
                <w:szCs w:val="20"/>
              </w:rPr>
              <w:t>Persistiram desigualdades regionais na implementação das medidas, limitações na capacidade diagnóstica e laboratorial, necessidade de qualificação profissional e fragilidades na integração entre vigilância e assistência. Ressalta-se a importância de parâmetros como a meta 7-1-7 para aprimoramento da prontidão e da resposta oportuna.</w:t>
            </w:r>
          </w:p>
        </w:tc>
        <w:tc>
          <w:tcPr>
            <w:tcW w:w="2921" w:type="dxa"/>
            <w:tcMar>
              <w:top w:w="100" w:type="dxa"/>
              <w:left w:w="100" w:type="dxa"/>
              <w:bottom w:w="100" w:type="dxa"/>
              <w:right w:w="100" w:type="dxa"/>
            </w:tcMar>
          </w:tcPr>
          <w:p w14:paraId="227DBF87" w14:textId="77777777" w:rsidR="00243910" w:rsidRPr="00243910" w:rsidRDefault="00243910" w:rsidP="00243910">
            <w:pPr>
              <w:widowControl w:val="0"/>
              <w:pBdr>
                <w:top w:val="nil"/>
                <w:left w:val="nil"/>
                <w:bottom w:val="nil"/>
                <w:right w:val="nil"/>
                <w:between w:val="nil"/>
              </w:pBdr>
              <w:rPr>
                <w:rFonts w:ascii="High Tower Text" w:eastAsia="Arial" w:hAnsi="High Tower Text" w:cs="Arial"/>
                <w:sz w:val="20"/>
                <w:szCs w:val="20"/>
              </w:rPr>
            </w:pPr>
            <w:r w:rsidRPr="00243910">
              <w:rPr>
                <w:rFonts w:ascii="High Tower Text" w:eastAsia="Arial" w:hAnsi="High Tower Text" w:cs="Arial"/>
                <w:sz w:val="20"/>
                <w:szCs w:val="20"/>
              </w:rPr>
              <w:t>Boing et al., (2022); Macedo; Maciel, (2023); Bochner et al., (2023); Aziz et al.,( 2025)</w:t>
            </w:r>
          </w:p>
        </w:tc>
      </w:tr>
      <w:tr w:rsidR="00243910" w:rsidRPr="00243910" w14:paraId="0F2C2B6D" w14:textId="77777777" w:rsidTr="00DD734F">
        <w:tc>
          <w:tcPr>
            <w:tcW w:w="3212" w:type="dxa"/>
            <w:tcMar>
              <w:top w:w="100" w:type="dxa"/>
              <w:left w:w="100" w:type="dxa"/>
              <w:bottom w:w="100" w:type="dxa"/>
              <w:right w:w="100" w:type="dxa"/>
            </w:tcMar>
          </w:tcPr>
          <w:p w14:paraId="47EF2D0B" w14:textId="77777777" w:rsidR="00243910" w:rsidRPr="00243910" w:rsidRDefault="00243910" w:rsidP="00243910">
            <w:pPr>
              <w:widowControl w:val="0"/>
              <w:pBdr>
                <w:top w:val="nil"/>
                <w:left w:val="nil"/>
                <w:bottom w:val="nil"/>
                <w:right w:val="nil"/>
                <w:between w:val="nil"/>
              </w:pBdr>
              <w:rPr>
                <w:rFonts w:ascii="High Tower Text" w:eastAsia="Arial" w:hAnsi="High Tower Text" w:cs="Arial"/>
                <w:sz w:val="20"/>
                <w:szCs w:val="20"/>
              </w:rPr>
            </w:pPr>
            <w:r w:rsidRPr="00243910">
              <w:rPr>
                <w:rFonts w:ascii="High Tower Text" w:eastAsia="Arial" w:hAnsi="High Tower Text" w:cs="Arial"/>
                <w:sz w:val="20"/>
                <w:szCs w:val="20"/>
              </w:rPr>
              <w:t>Comunicação de Risco, Determinantes Sociais e Perspectivas Estratégicas</w:t>
            </w:r>
          </w:p>
        </w:tc>
        <w:tc>
          <w:tcPr>
            <w:tcW w:w="3213" w:type="dxa"/>
            <w:tcMar>
              <w:top w:w="100" w:type="dxa"/>
              <w:left w:w="100" w:type="dxa"/>
              <w:bottom w:w="100" w:type="dxa"/>
              <w:right w:w="100" w:type="dxa"/>
            </w:tcMar>
          </w:tcPr>
          <w:p w14:paraId="3D9FEA4B" w14:textId="77777777" w:rsidR="00243910" w:rsidRPr="00243910" w:rsidRDefault="00243910" w:rsidP="00243910">
            <w:pPr>
              <w:widowControl w:val="0"/>
              <w:pBdr>
                <w:top w:val="nil"/>
                <w:left w:val="nil"/>
                <w:bottom w:val="nil"/>
                <w:right w:val="nil"/>
                <w:between w:val="nil"/>
              </w:pBdr>
              <w:rPr>
                <w:rFonts w:ascii="High Tower Text" w:eastAsia="Arial" w:hAnsi="High Tower Text" w:cs="Arial"/>
                <w:sz w:val="20"/>
                <w:szCs w:val="20"/>
              </w:rPr>
            </w:pPr>
            <w:r w:rsidRPr="00243910">
              <w:rPr>
                <w:rFonts w:ascii="High Tower Text" w:eastAsia="Arial" w:hAnsi="High Tower Text" w:cs="Arial"/>
                <w:sz w:val="20"/>
                <w:szCs w:val="20"/>
              </w:rPr>
              <w:t xml:space="preserve">Evidenciou-se a centralidade da comunicação de risco baseada em direitos humanos e do engajamento comunitário para redução do estigma e ampliação da adesão às medidas preventivas. Destaca-se a influência dos determinantes sociais na vulnerabilidade à doença e a relevância da abordagem </w:t>
            </w:r>
            <w:proofErr w:type="spellStart"/>
            <w:r w:rsidRPr="00243910">
              <w:rPr>
                <w:rFonts w:ascii="High Tower Text" w:eastAsia="Arial" w:hAnsi="High Tower Text" w:cs="Arial"/>
                <w:sz w:val="20"/>
                <w:szCs w:val="20"/>
              </w:rPr>
              <w:t>One</w:t>
            </w:r>
            <w:proofErr w:type="spellEnd"/>
            <w:r w:rsidRPr="00243910">
              <w:rPr>
                <w:rFonts w:ascii="High Tower Text" w:eastAsia="Arial" w:hAnsi="High Tower Text" w:cs="Arial"/>
                <w:sz w:val="20"/>
                <w:szCs w:val="20"/>
              </w:rPr>
              <w:t xml:space="preserve"> Health como estratégia integrada para prevenção de zoonoses emergentes e fortalecimento da governança sanitária.</w:t>
            </w:r>
          </w:p>
        </w:tc>
        <w:tc>
          <w:tcPr>
            <w:tcW w:w="2921" w:type="dxa"/>
            <w:tcMar>
              <w:top w:w="100" w:type="dxa"/>
              <w:left w:w="100" w:type="dxa"/>
              <w:bottom w:w="100" w:type="dxa"/>
              <w:right w:w="100" w:type="dxa"/>
            </w:tcMar>
          </w:tcPr>
          <w:p w14:paraId="3AEC1D48" w14:textId="4DA3397A" w:rsidR="00243910" w:rsidRPr="00243910" w:rsidRDefault="00243910" w:rsidP="00243910">
            <w:pPr>
              <w:widowControl w:val="0"/>
              <w:pBdr>
                <w:top w:val="nil"/>
                <w:left w:val="nil"/>
                <w:bottom w:val="nil"/>
                <w:right w:val="nil"/>
                <w:between w:val="nil"/>
              </w:pBdr>
              <w:rPr>
                <w:rFonts w:ascii="High Tower Text" w:eastAsia="Arial" w:hAnsi="High Tower Text" w:cs="Arial"/>
                <w:sz w:val="20"/>
                <w:szCs w:val="20"/>
              </w:rPr>
            </w:pPr>
            <w:r w:rsidRPr="00243910">
              <w:rPr>
                <w:rFonts w:ascii="High Tower Text" w:eastAsia="Arial" w:hAnsi="High Tower Text" w:cs="Arial"/>
                <w:sz w:val="20"/>
                <w:szCs w:val="20"/>
              </w:rPr>
              <w:t xml:space="preserve">Mambo </w:t>
            </w:r>
            <w:r w:rsidRPr="00243910">
              <w:rPr>
                <w:rFonts w:ascii="High Tower Text" w:eastAsia="Arial" w:hAnsi="High Tower Text" w:cs="Arial"/>
                <w:i/>
                <w:iCs/>
                <w:sz w:val="20"/>
                <w:szCs w:val="20"/>
              </w:rPr>
              <w:t>et al</w:t>
            </w:r>
            <w:r w:rsidRPr="00243910">
              <w:rPr>
                <w:rFonts w:ascii="High Tower Text" w:eastAsia="Arial" w:hAnsi="High Tower Text" w:cs="Arial"/>
                <w:sz w:val="20"/>
                <w:szCs w:val="20"/>
              </w:rPr>
              <w:t xml:space="preserve">., (2025); </w:t>
            </w:r>
            <w:proofErr w:type="spellStart"/>
            <w:r w:rsidRPr="00243910">
              <w:rPr>
                <w:rFonts w:ascii="High Tower Text" w:eastAsia="Arial" w:hAnsi="High Tower Text" w:cs="Arial"/>
                <w:sz w:val="20"/>
                <w:szCs w:val="20"/>
              </w:rPr>
              <w:t>Tambo</w:t>
            </w:r>
            <w:proofErr w:type="spellEnd"/>
            <w:r w:rsidRPr="00243910">
              <w:rPr>
                <w:rFonts w:ascii="High Tower Text" w:eastAsia="Arial" w:hAnsi="High Tower Text" w:cs="Arial"/>
                <w:sz w:val="20"/>
                <w:szCs w:val="20"/>
              </w:rPr>
              <w:t>; Al-</w:t>
            </w:r>
            <w:proofErr w:type="spellStart"/>
            <w:r w:rsidRPr="00243910">
              <w:rPr>
                <w:rFonts w:ascii="High Tower Text" w:eastAsia="Arial" w:hAnsi="High Tower Text" w:cs="Arial"/>
                <w:sz w:val="20"/>
                <w:szCs w:val="20"/>
              </w:rPr>
              <w:t>Nazawi</w:t>
            </w:r>
            <w:proofErr w:type="spellEnd"/>
            <w:r w:rsidRPr="00243910">
              <w:rPr>
                <w:rFonts w:ascii="High Tower Text" w:eastAsia="Arial" w:hAnsi="High Tower Text" w:cs="Arial"/>
                <w:sz w:val="20"/>
                <w:szCs w:val="20"/>
              </w:rPr>
              <w:t xml:space="preserve">, (2022); </w:t>
            </w:r>
            <w:proofErr w:type="spellStart"/>
            <w:r w:rsidRPr="00243910">
              <w:rPr>
                <w:rFonts w:ascii="High Tower Text" w:eastAsia="Arial" w:hAnsi="High Tower Text" w:cs="Arial"/>
                <w:sz w:val="20"/>
                <w:szCs w:val="20"/>
              </w:rPr>
              <w:t>Ranakoti</w:t>
            </w:r>
            <w:proofErr w:type="spellEnd"/>
            <w:r w:rsidRPr="00243910">
              <w:rPr>
                <w:rFonts w:ascii="High Tower Text" w:eastAsia="Arial" w:hAnsi="High Tower Text" w:cs="Arial"/>
                <w:i/>
                <w:iCs/>
                <w:sz w:val="20"/>
                <w:szCs w:val="20"/>
              </w:rPr>
              <w:t xml:space="preserve"> et al</w:t>
            </w:r>
            <w:r w:rsidRPr="00243910">
              <w:rPr>
                <w:rFonts w:ascii="High Tower Text" w:eastAsia="Arial" w:hAnsi="High Tower Text" w:cs="Arial"/>
                <w:sz w:val="20"/>
                <w:szCs w:val="20"/>
              </w:rPr>
              <w:t>., (2025); Santos; Sant’Anna, (2024)</w:t>
            </w:r>
          </w:p>
        </w:tc>
      </w:tr>
    </w:tbl>
    <w:p w14:paraId="2C8AA707" w14:textId="77777777" w:rsidR="00243910" w:rsidRPr="00243910" w:rsidRDefault="00243910" w:rsidP="00243910">
      <w:pPr>
        <w:spacing w:after="120"/>
        <w:ind w:hanging="2"/>
        <w:jc w:val="left"/>
        <w:rPr>
          <w:rFonts w:ascii="High Tower Text" w:eastAsia="Arial" w:hAnsi="High Tower Text" w:cs="Arial"/>
          <w:sz w:val="20"/>
          <w:szCs w:val="20"/>
        </w:rPr>
      </w:pPr>
      <w:r w:rsidRPr="00243910">
        <w:rPr>
          <w:rFonts w:ascii="High Tower Text" w:eastAsia="Arial" w:hAnsi="High Tower Text" w:cs="Arial"/>
          <w:b/>
          <w:bCs/>
          <w:sz w:val="20"/>
          <w:szCs w:val="20"/>
        </w:rPr>
        <w:t>Fonte:</w:t>
      </w:r>
      <w:r w:rsidRPr="00243910">
        <w:rPr>
          <w:rFonts w:ascii="High Tower Text" w:eastAsia="Arial" w:hAnsi="High Tower Text" w:cs="Arial"/>
          <w:sz w:val="20"/>
          <w:szCs w:val="20"/>
        </w:rPr>
        <w:t xml:space="preserve"> Autoria própria (2026)</w:t>
      </w:r>
    </w:p>
    <w:p w14:paraId="5E367462" w14:textId="77777777" w:rsidR="00243910" w:rsidRPr="00243910" w:rsidRDefault="00243910" w:rsidP="00243910">
      <w:pPr>
        <w:spacing w:line="360" w:lineRule="auto"/>
        <w:ind w:firstLine="709"/>
        <w:rPr>
          <w:rFonts w:ascii="High Tower Text" w:eastAsia="Arial" w:hAnsi="High Tower Text" w:cs="Arial"/>
          <w:szCs w:val="24"/>
        </w:rPr>
      </w:pPr>
      <w:r w:rsidRPr="00243910">
        <w:rPr>
          <w:rFonts w:ascii="High Tower Text" w:eastAsia="Arial" w:hAnsi="High Tower Text" w:cs="Arial"/>
          <w:szCs w:val="24"/>
        </w:rPr>
        <w:t xml:space="preserve">Em síntese, os resultados evidenciam que a </w:t>
      </w:r>
      <w:proofErr w:type="spellStart"/>
      <w:r w:rsidRPr="00243910">
        <w:rPr>
          <w:rFonts w:ascii="High Tower Text" w:eastAsia="Arial" w:hAnsi="High Tower Text" w:cs="Arial"/>
          <w:szCs w:val="24"/>
        </w:rPr>
        <w:t>Monkeypox</w:t>
      </w:r>
      <w:proofErr w:type="spellEnd"/>
      <w:r w:rsidRPr="00243910">
        <w:rPr>
          <w:rFonts w:ascii="High Tower Text" w:eastAsia="Arial" w:hAnsi="High Tower Text" w:cs="Arial"/>
          <w:szCs w:val="24"/>
        </w:rPr>
        <w:t xml:space="preserve"> expôs tanto a capacidade de mobilização normativa do Estado brasileiro quanto as fragilidades estruturais do sistema de saúde, especialmente no que tange à integração federativa, à sustentabilidade das ações e à consolidação de uma vigilância epidemiológica resiliente. A experiência acumulada reforça a necessidade de investimentos contínuos em governança sanitária, infraestrutura laboratorial, qualificação profissional e comunicação de risco, como pilares essenciais para o enfrentamento de emergências atuais e futuras.</w:t>
      </w:r>
    </w:p>
    <w:p w14:paraId="6A1BC052" w14:textId="77777777" w:rsidR="00243910" w:rsidRPr="00243910" w:rsidRDefault="00243910" w:rsidP="00243910">
      <w:pPr>
        <w:spacing w:after="120"/>
        <w:ind w:hanging="2"/>
        <w:rPr>
          <w:rFonts w:ascii="High Tower Text" w:eastAsia="Arial" w:hAnsi="High Tower Text" w:cs="Arial"/>
          <w:color w:val="FF0000"/>
          <w:sz w:val="20"/>
          <w:szCs w:val="20"/>
        </w:rPr>
      </w:pPr>
    </w:p>
    <w:p w14:paraId="48952343" w14:textId="77777777" w:rsidR="00243910" w:rsidRDefault="00243910" w:rsidP="00243910">
      <w:pPr>
        <w:spacing w:after="120"/>
        <w:ind w:hanging="2"/>
        <w:rPr>
          <w:rFonts w:ascii="High Tower Text" w:eastAsia="Arial" w:hAnsi="High Tower Text" w:cs="Arial"/>
          <w:b/>
          <w:bCs/>
          <w:szCs w:val="24"/>
        </w:rPr>
      </w:pPr>
    </w:p>
    <w:p w14:paraId="0EA1B493" w14:textId="77777777" w:rsidR="00243910" w:rsidRDefault="00243910" w:rsidP="00243910">
      <w:pPr>
        <w:spacing w:after="120"/>
        <w:ind w:hanging="2"/>
        <w:rPr>
          <w:rFonts w:ascii="High Tower Text" w:eastAsia="Arial" w:hAnsi="High Tower Text" w:cs="Arial"/>
          <w:b/>
          <w:bCs/>
          <w:szCs w:val="24"/>
        </w:rPr>
      </w:pPr>
    </w:p>
    <w:p w14:paraId="45ADF922" w14:textId="1C76A4EC" w:rsidR="00243910" w:rsidRPr="00243910" w:rsidRDefault="00243910" w:rsidP="00243910">
      <w:pPr>
        <w:spacing w:before="100" w:beforeAutospacing="1" w:after="100" w:afterAutospacing="1"/>
        <w:rPr>
          <w:rFonts w:ascii="High Tower Text" w:eastAsia="Arial" w:hAnsi="High Tower Text" w:cs="Arial"/>
          <w:szCs w:val="24"/>
        </w:rPr>
      </w:pPr>
      <w:r w:rsidRPr="00243910">
        <w:rPr>
          <w:rFonts w:ascii="High Tower Text" w:eastAsia="Arial" w:hAnsi="High Tower Text" w:cs="Arial"/>
          <w:b/>
          <w:bCs/>
          <w:szCs w:val="24"/>
        </w:rPr>
        <w:lastRenderedPageBreak/>
        <w:t xml:space="preserve">DISCUSSÃO </w:t>
      </w:r>
    </w:p>
    <w:p w14:paraId="3E3B640B" w14:textId="77777777" w:rsidR="00243910" w:rsidRPr="00243910" w:rsidRDefault="00243910" w:rsidP="00243910">
      <w:pPr>
        <w:spacing w:line="360" w:lineRule="auto"/>
        <w:ind w:firstLine="709"/>
        <w:rPr>
          <w:rFonts w:ascii="High Tower Text" w:eastAsia="Arial" w:hAnsi="High Tower Text" w:cs="Arial"/>
          <w:szCs w:val="24"/>
        </w:rPr>
      </w:pPr>
      <w:r w:rsidRPr="00243910">
        <w:rPr>
          <w:rFonts w:ascii="High Tower Text" w:eastAsia="Arial" w:hAnsi="High Tower Text" w:cs="Arial"/>
          <w:szCs w:val="24"/>
        </w:rPr>
        <w:t xml:space="preserve">A emergência da </w:t>
      </w:r>
      <w:proofErr w:type="spellStart"/>
      <w:r w:rsidRPr="00243910">
        <w:rPr>
          <w:rFonts w:ascii="High Tower Text" w:eastAsia="Arial" w:hAnsi="High Tower Text" w:cs="Arial"/>
          <w:szCs w:val="24"/>
        </w:rPr>
        <w:t>Monkeypox</w:t>
      </w:r>
      <w:proofErr w:type="spellEnd"/>
      <w:r w:rsidRPr="00243910">
        <w:rPr>
          <w:rFonts w:ascii="High Tower Text" w:eastAsia="Arial" w:hAnsi="High Tower Text" w:cs="Arial"/>
          <w:szCs w:val="24"/>
        </w:rPr>
        <w:t xml:space="preserve">, a partir de 2022, revelou a complexidade dos desafios impostos às estruturas de governança sanitária contemporâneas, especialmente em contextos marcados por desigualdades sociais e heterogeneidade regional. Ao declarar o surto como Emergência de Saúde Pública de Importância Internacional, a World Health </w:t>
      </w:r>
      <w:proofErr w:type="spellStart"/>
      <w:r w:rsidRPr="00243910">
        <w:rPr>
          <w:rFonts w:ascii="High Tower Text" w:eastAsia="Arial" w:hAnsi="High Tower Text" w:cs="Arial"/>
          <w:szCs w:val="24"/>
        </w:rPr>
        <w:t>Organization</w:t>
      </w:r>
      <w:proofErr w:type="spellEnd"/>
      <w:r w:rsidRPr="00243910">
        <w:rPr>
          <w:rFonts w:ascii="High Tower Text" w:eastAsia="Arial" w:hAnsi="High Tower Text" w:cs="Arial"/>
          <w:szCs w:val="24"/>
        </w:rPr>
        <w:t xml:space="preserve"> sinalizou não apenas a gravidade epidemiológica do evento, mas também a necessidade de respostas coordenadas, tempestivas e baseadas em evidências (World Health </w:t>
      </w:r>
      <w:proofErr w:type="spellStart"/>
      <w:r w:rsidRPr="00243910">
        <w:rPr>
          <w:rFonts w:ascii="High Tower Text" w:eastAsia="Arial" w:hAnsi="High Tower Text" w:cs="Arial"/>
          <w:szCs w:val="24"/>
        </w:rPr>
        <w:t>Organization</w:t>
      </w:r>
      <w:proofErr w:type="spellEnd"/>
      <w:r w:rsidRPr="00243910">
        <w:rPr>
          <w:rFonts w:ascii="High Tower Text" w:eastAsia="Arial" w:hAnsi="High Tower Text" w:cs="Arial"/>
          <w:szCs w:val="24"/>
        </w:rPr>
        <w:t xml:space="preserve">, 2022). Nesse sentido, a emergência da </w:t>
      </w:r>
      <w:proofErr w:type="spellStart"/>
      <w:r w:rsidRPr="00243910">
        <w:rPr>
          <w:rFonts w:ascii="High Tower Text" w:eastAsia="Arial" w:hAnsi="High Tower Text" w:cs="Arial"/>
          <w:szCs w:val="24"/>
        </w:rPr>
        <w:t>Monkeypox</w:t>
      </w:r>
      <w:proofErr w:type="spellEnd"/>
      <w:r w:rsidRPr="00243910">
        <w:rPr>
          <w:rFonts w:ascii="High Tower Text" w:eastAsia="Arial" w:hAnsi="High Tower Text" w:cs="Arial"/>
          <w:szCs w:val="24"/>
        </w:rPr>
        <w:t xml:space="preserve"> pode ser compreendida como um teste à capacidade dos sistemas nacionais de saúde de articular vigilância, assistência e regulação sob uma perspectiva integrada.</w:t>
      </w:r>
    </w:p>
    <w:p w14:paraId="0779D9E8" w14:textId="77777777" w:rsidR="00243910" w:rsidRPr="00243910" w:rsidRDefault="00243910" w:rsidP="00243910">
      <w:pPr>
        <w:spacing w:line="360" w:lineRule="auto"/>
        <w:ind w:firstLine="709"/>
        <w:rPr>
          <w:rFonts w:ascii="High Tower Text" w:eastAsia="Arial" w:hAnsi="High Tower Text" w:cs="Arial"/>
          <w:szCs w:val="24"/>
        </w:rPr>
      </w:pPr>
      <w:r w:rsidRPr="00243910">
        <w:rPr>
          <w:rFonts w:ascii="High Tower Text" w:eastAsia="Arial" w:hAnsi="High Tower Text" w:cs="Arial"/>
          <w:szCs w:val="24"/>
        </w:rPr>
        <w:t xml:space="preserve">No plano epidemiológico, </w:t>
      </w:r>
      <w:proofErr w:type="spellStart"/>
      <w:r w:rsidRPr="00243910">
        <w:rPr>
          <w:rFonts w:ascii="High Tower Text" w:eastAsia="Arial" w:hAnsi="High Tower Text" w:cs="Arial"/>
          <w:szCs w:val="24"/>
        </w:rPr>
        <w:t>Jadhav</w:t>
      </w:r>
      <w:proofErr w:type="spellEnd"/>
      <w:r w:rsidRPr="00243910">
        <w:rPr>
          <w:rFonts w:ascii="High Tower Text" w:eastAsia="Arial" w:hAnsi="High Tower Text" w:cs="Arial"/>
          <w:szCs w:val="24"/>
        </w:rPr>
        <w:t xml:space="preserve"> </w:t>
      </w:r>
      <w:r w:rsidRPr="00243910">
        <w:rPr>
          <w:rFonts w:ascii="High Tower Text" w:eastAsia="Arial" w:hAnsi="High Tower Text" w:cs="Arial"/>
          <w:i/>
          <w:iCs/>
          <w:szCs w:val="24"/>
        </w:rPr>
        <w:t>et al</w:t>
      </w:r>
      <w:r w:rsidRPr="00243910">
        <w:rPr>
          <w:rFonts w:ascii="High Tower Text" w:eastAsia="Arial" w:hAnsi="High Tower Text" w:cs="Arial"/>
          <w:szCs w:val="24"/>
        </w:rPr>
        <w:t xml:space="preserve">. (2025) enfatizam que a reconfiguração do padrão de transmissão com predominância de disseminação interpessoal em contextos urbanos  representou ruptura com o modelo clássico associado a surtos zoonóticos africanos. Para os autores, essa mudança exigiu atualização rápida das definições de caso e intensificação da vigilância ativa, sobretudo em redes sociais específicas inicialmente mais afetadas. De modo complementar, Fonseca </w:t>
      </w:r>
      <w:r w:rsidRPr="00243910">
        <w:rPr>
          <w:rFonts w:ascii="High Tower Text" w:eastAsia="Arial" w:hAnsi="High Tower Text" w:cs="Arial"/>
          <w:i/>
          <w:iCs/>
          <w:szCs w:val="24"/>
        </w:rPr>
        <w:t>et al</w:t>
      </w:r>
      <w:r w:rsidRPr="00243910">
        <w:rPr>
          <w:rFonts w:ascii="High Tower Text" w:eastAsia="Arial" w:hAnsi="High Tower Text" w:cs="Arial"/>
          <w:szCs w:val="24"/>
        </w:rPr>
        <w:t>. (2025) destacam que a variabilidade clínica observada em 2022, com manifestações menos típicas, contribuiu para subdiagnóstico inicial e atraso na contenção, reforçando a importância da capacitação profissional e da ampliação do acesso a testes laboratoriais.</w:t>
      </w:r>
    </w:p>
    <w:p w14:paraId="68A95FF0" w14:textId="77777777" w:rsidR="00243910" w:rsidRPr="00243910" w:rsidRDefault="00243910" w:rsidP="00243910">
      <w:pPr>
        <w:spacing w:line="360" w:lineRule="auto"/>
        <w:ind w:firstLine="709"/>
        <w:rPr>
          <w:rFonts w:ascii="High Tower Text" w:eastAsia="Arial" w:hAnsi="High Tower Text" w:cs="Arial"/>
          <w:szCs w:val="24"/>
        </w:rPr>
      </w:pPr>
      <w:r w:rsidRPr="00243910">
        <w:rPr>
          <w:rFonts w:ascii="High Tower Text" w:eastAsia="Arial" w:hAnsi="High Tower Text" w:cs="Arial"/>
          <w:szCs w:val="24"/>
        </w:rPr>
        <w:t xml:space="preserve">No contexto brasileiro, Godinho </w:t>
      </w:r>
      <w:r w:rsidRPr="00243910">
        <w:rPr>
          <w:rFonts w:ascii="High Tower Text" w:eastAsia="Arial" w:hAnsi="High Tower Text" w:cs="Arial"/>
          <w:i/>
          <w:iCs/>
          <w:szCs w:val="24"/>
        </w:rPr>
        <w:t>et al</w:t>
      </w:r>
      <w:r w:rsidRPr="00243910">
        <w:rPr>
          <w:rFonts w:ascii="High Tower Text" w:eastAsia="Arial" w:hAnsi="High Tower Text" w:cs="Arial"/>
          <w:szCs w:val="24"/>
        </w:rPr>
        <w:t>. (2025) demonstram que a circulação do vírus foi marcada por múltiplas introduções independentes, seguidas de transmissão local sustentada, especialmente na região Sul do país. Tal achado evidencia fragilidades na contenção inicial e na vigilância genômica, ao mesmo tempo em que revela a interdependência entre mobilidade internacional e dinâmica interna de disseminação. Para Macedo e Maciel (2023), a experiência brasileira explicitou a necessidade de integração efetiva entre vigilância epidemiológica e atenção à saúde, superando fragmentações históricas entre os níveis de gestão.</w:t>
      </w:r>
    </w:p>
    <w:p w14:paraId="44D25F0A" w14:textId="77777777" w:rsidR="00243910" w:rsidRPr="00243910" w:rsidRDefault="00243910" w:rsidP="00243910">
      <w:pPr>
        <w:spacing w:line="360" w:lineRule="auto"/>
        <w:ind w:firstLine="709"/>
        <w:rPr>
          <w:rFonts w:ascii="High Tower Text" w:eastAsia="Arial" w:hAnsi="High Tower Text" w:cs="Arial"/>
          <w:szCs w:val="24"/>
        </w:rPr>
      </w:pPr>
      <w:r w:rsidRPr="00243910">
        <w:rPr>
          <w:rFonts w:ascii="High Tower Text" w:eastAsia="Arial" w:hAnsi="High Tower Text" w:cs="Arial"/>
          <w:szCs w:val="24"/>
        </w:rPr>
        <w:t xml:space="preserve">No campo normativo, Brasil (2022a), ao instituir a Emergência em Saúde Pública de Importância Nacional (ESPIN), possibilitou a mobilização de recursos e a adoção de medidas excepcionais de enfrentamento. Brasil (2022b) e Brasil (2022c) detalham que o Guia de Vigilância Epidemiológica e o Plano de Contingência Nacional estabeleceram fluxos claros para notificação, investigação e manejo clínico, buscando padronizar a resposta em âmbito nacional. Entretanto, conforme argumentam Boing </w:t>
      </w:r>
      <w:r w:rsidRPr="00243910">
        <w:rPr>
          <w:rFonts w:ascii="High Tower Text" w:eastAsia="Arial" w:hAnsi="High Tower Text" w:cs="Arial"/>
          <w:i/>
          <w:iCs/>
          <w:szCs w:val="24"/>
        </w:rPr>
        <w:t>et al</w:t>
      </w:r>
      <w:r w:rsidRPr="00243910">
        <w:rPr>
          <w:rFonts w:ascii="High Tower Text" w:eastAsia="Arial" w:hAnsi="High Tower Text" w:cs="Arial"/>
          <w:szCs w:val="24"/>
        </w:rPr>
        <w:t xml:space="preserve">. (2022), a existência de instrumentos normativos </w:t>
      </w:r>
      <w:r w:rsidRPr="00243910">
        <w:rPr>
          <w:rFonts w:ascii="High Tower Text" w:eastAsia="Arial" w:hAnsi="High Tower Text" w:cs="Arial"/>
          <w:szCs w:val="24"/>
        </w:rPr>
        <w:lastRenderedPageBreak/>
        <w:t>não garante, por si só, efetividade operacional, especialmente em contextos de desigualdade regional e limitações estruturais.</w:t>
      </w:r>
    </w:p>
    <w:p w14:paraId="5594EF34" w14:textId="77777777" w:rsidR="00243910" w:rsidRPr="00243910" w:rsidRDefault="00243910" w:rsidP="00243910">
      <w:pPr>
        <w:spacing w:line="360" w:lineRule="auto"/>
        <w:ind w:firstLine="709"/>
        <w:rPr>
          <w:rFonts w:ascii="High Tower Text" w:eastAsia="Arial" w:hAnsi="High Tower Text" w:cs="Arial"/>
          <w:szCs w:val="24"/>
        </w:rPr>
      </w:pPr>
      <w:r w:rsidRPr="00243910">
        <w:rPr>
          <w:rFonts w:ascii="High Tower Text" w:eastAsia="Arial" w:hAnsi="High Tower Text" w:cs="Arial"/>
          <w:szCs w:val="24"/>
        </w:rPr>
        <w:t>Sob a perspectiva da vigilância sanitária, a Agência Nacional de Vigilância Sanitária desempenhou papel relevante ao publicar orientações técnicas para serviços de saúde e pontos de entrada (Agência Nacional de Vigilância Sanitária, 2022). Contudo, Macedo e Maciel (2023) ressaltam que a articulação entre vigilância sanitária e epidemiológica ainda enfrenta desafios históricos no Sistema Único de Saúde, o que pode comprometer a integralidade da resposta em cenários emergenciais.</w:t>
      </w:r>
    </w:p>
    <w:p w14:paraId="4DA97F4C" w14:textId="77777777" w:rsidR="00243910" w:rsidRPr="00243910" w:rsidRDefault="00243910" w:rsidP="00243910">
      <w:pPr>
        <w:spacing w:line="360" w:lineRule="auto"/>
        <w:ind w:firstLine="709"/>
        <w:rPr>
          <w:rFonts w:ascii="High Tower Text" w:eastAsia="Arial" w:hAnsi="High Tower Text" w:cs="Arial"/>
          <w:szCs w:val="24"/>
        </w:rPr>
      </w:pPr>
      <w:r w:rsidRPr="00243910">
        <w:rPr>
          <w:rFonts w:ascii="High Tower Text" w:eastAsia="Arial" w:hAnsi="High Tower Text" w:cs="Arial"/>
          <w:szCs w:val="24"/>
        </w:rPr>
        <w:t xml:space="preserve">No âmbito internacional, Aziz </w:t>
      </w:r>
      <w:r w:rsidRPr="00243910">
        <w:rPr>
          <w:rFonts w:ascii="High Tower Text" w:eastAsia="Arial" w:hAnsi="High Tower Text" w:cs="Arial"/>
          <w:i/>
          <w:iCs/>
          <w:szCs w:val="24"/>
        </w:rPr>
        <w:t>et al</w:t>
      </w:r>
      <w:r w:rsidRPr="00243910">
        <w:rPr>
          <w:rFonts w:ascii="High Tower Text" w:eastAsia="Arial" w:hAnsi="High Tower Text" w:cs="Arial"/>
          <w:szCs w:val="24"/>
        </w:rPr>
        <w:t xml:space="preserve">. (2025) argumentam que a eficácia das respostas a surtos de </w:t>
      </w:r>
      <w:proofErr w:type="spellStart"/>
      <w:r w:rsidRPr="00243910">
        <w:rPr>
          <w:rFonts w:ascii="High Tower Text" w:eastAsia="Arial" w:hAnsi="High Tower Text" w:cs="Arial"/>
          <w:szCs w:val="24"/>
        </w:rPr>
        <w:t>Monkeypox</w:t>
      </w:r>
      <w:proofErr w:type="spellEnd"/>
      <w:r w:rsidRPr="00243910">
        <w:rPr>
          <w:rFonts w:ascii="High Tower Text" w:eastAsia="Arial" w:hAnsi="High Tower Text" w:cs="Arial"/>
          <w:szCs w:val="24"/>
        </w:rPr>
        <w:t xml:space="preserve"> está associada à rapidez na detecção e à coordenação intersetorial. Para esses autores, países que ativaram precocemente protocolos de emergência e ampliaram a capacidade diagnóstica apresentaram melhor controle da disseminação. De forma convergente, Bochner </w:t>
      </w:r>
      <w:r w:rsidRPr="00243910">
        <w:rPr>
          <w:rFonts w:ascii="High Tower Text" w:eastAsia="Arial" w:hAnsi="High Tower Text" w:cs="Arial"/>
          <w:i/>
          <w:iCs/>
          <w:szCs w:val="24"/>
        </w:rPr>
        <w:t>et al.</w:t>
      </w:r>
      <w:r w:rsidRPr="00243910">
        <w:rPr>
          <w:rFonts w:ascii="High Tower Text" w:eastAsia="Arial" w:hAnsi="High Tower Text" w:cs="Arial"/>
          <w:szCs w:val="24"/>
        </w:rPr>
        <w:t xml:space="preserve"> (2023) defendem a adoção da meta 7-1-7 como instrumento de fortalecimento da prontidão sanitária, ao estabelecer parâmetros temporais objetivos para detecção, notificação e resposta. No entanto, os próprios autores reconhecem que a implementação desse modelo depende de sistemas de informação robustos e financiamento sustentável, aspectos que variam significativamente entre países e regiões.</w:t>
      </w:r>
    </w:p>
    <w:p w14:paraId="7A85658A" w14:textId="77777777" w:rsidR="00243910" w:rsidRPr="00243910" w:rsidRDefault="00243910" w:rsidP="00243910">
      <w:pPr>
        <w:spacing w:line="360" w:lineRule="auto"/>
        <w:ind w:firstLine="709"/>
        <w:rPr>
          <w:rFonts w:ascii="High Tower Text" w:eastAsia="Arial" w:hAnsi="High Tower Text" w:cs="Arial"/>
          <w:szCs w:val="24"/>
        </w:rPr>
      </w:pPr>
      <w:r w:rsidRPr="00243910">
        <w:rPr>
          <w:rFonts w:ascii="High Tower Text" w:eastAsia="Arial" w:hAnsi="High Tower Text" w:cs="Arial"/>
          <w:szCs w:val="24"/>
        </w:rPr>
        <w:t xml:space="preserve">A discussão sobre comunicação de risco emerge como elemento central na análise da governança sanitária. Mambo </w:t>
      </w:r>
      <w:r w:rsidRPr="00243910">
        <w:rPr>
          <w:rFonts w:ascii="High Tower Text" w:eastAsia="Arial" w:hAnsi="High Tower Text" w:cs="Arial"/>
          <w:i/>
          <w:iCs/>
          <w:szCs w:val="24"/>
        </w:rPr>
        <w:t>et al</w:t>
      </w:r>
      <w:r w:rsidRPr="00243910">
        <w:rPr>
          <w:rFonts w:ascii="High Tower Text" w:eastAsia="Arial" w:hAnsi="High Tower Text" w:cs="Arial"/>
          <w:szCs w:val="24"/>
        </w:rPr>
        <w:t>. (2025) destacam que estratégias participativas e culturalmente sensíveis são fundamentais para promover adesão às medidas preventivas e reduzir estigmatização, especialmente em contextos de vulnerabilidade social. No Brasil, Santos e Sant’Anna (2024) observam que, embora tenha havido avanços na institucionalização da resposta, persistem lacunas na avaliação sistemática das políticas implementadas e na transparência comunicacional. Tal cenário evidencia que a governança sanitária eficaz exige não apenas normativas e protocolos, mas também diálogo permanente com a sociedade civil.</w:t>
      </w:r>
    </w:p>
    <w:p w14:paraId="6A9564A7" w14:textId="77777777" w:rsidR="00243910" w:rsidRPr="00243910" w:rsidRDefault="00243910" w:rsidP="00243910">
      <w:pPr>
        <w:spacing w:line="360" w:lineRule="auto"/>
        <w:ind w:firstLine="709"/>
        <w:rPr>
          <w:rFonts w:ascii="High Tower Text" w:eastAsia="Arial" w:hAnsi="High Tower Text" w:cs="Arial"/>
          <w:szCs w:val="24"/>
        </w:rPr>
      </w:pPr>
      <w:r w:rsidRPr="00243910">
        <w:rPr>
          <w:rFonts w:ascii="High Tower Text" w:eastAsia="Arial" w:hAnsi="High Tower Text" w:cs="Arial"/>
          <w:szCs w:val="24"/>
        </w:rPr>
        <w:t xml:space="preserve">Outro aspecto relevante refere-se aos determinantes sociais da saúde. </w:t>
      </w:r>
      <w:proofErr w:type="spellStart"/>
      <w:r w:rsidRPr="00243910">
        <w:rPr>
          <w:rFonts w:ascii="High Tower Text" w:eastAsia="Arial" w:hAnsi="High Tower Text" w:cs="Arial"/>
          <w:szCs w:val="24"/>
        </w:rPr>
        <w:t>Tambo</w:t>
      </w:r>
      <w:proofErr w:type="spellEnd"/>
      <w:r w:rsidRPr="00243910">
        <w:rPr>
          <w:rFonts w:ascii="High Tower Text" w:eastAsia="Arial" w:hAnsi="High Tower Text" w:cs="Arial"/>
          <w:szCs w:val="24"/>
        </w:rPr>
        <w:t xml:space="preserve"> e Al-</w:t>
      </w:r>
      <w:proofErr w:type="spellStart"/>
      <w:r w:rsidRPr="00243910">
        <w:rPr>
          <w:rFonts w:ascii="High Tower Text" w:eastAsia="Arial" w:hAnsi="High Tower Text" w:cs="Arial"/>
          <w:szCs w:val="24"/>
        </w:rPr>
        <w:t>Nazawi</w:t>
      </w:r>
      <w:proofErr w:type="spellEnd"/>
      <w:r w:rsidRPr="00243910">
        <w:rPr>
          <w:rFonts w:ascii="High Tower Text" w:eastAsia="Arial" w:hAnsi="High Tower Text" w:cs="Arial"/>
          <w:szCs w:val="24"/>
        </w:rPr>
        <w:t xml:space="preserve"> (2022) argumentam que surtos de </w:t>
      </w:r>
      <w:proofErr w:type="spellStart"/>
      <w:r w:rsidRPr="00243910">
        <w:rPr>
          <w:rFonts w:ascii="High Tower Text" w:eastAsia="Arial" w:hAnsi="High Tower Text" w:cs="Arial"/>
          <w:szCs w:val="24"/>
        </w:rPr>
        <w:t>Monkeypox</w:t>
      </w:r>
      <w:proofErr w:type="spellEnd"/>
      <w:r w:rsidRPr="00243910">
        <w:rPr>
          <w:rFonts w:ascii="High Tower Text" w:eastAsia="Arial" w:hAnsi="High Tower Text" w:cs="Arial"/>
          <w:szCs w:val="24"/>
        </w:rPr>
        <w:t xml:space="preserve"> estão intrinsecamente relacionados a contextos de pobreza, desigualdade e fragilidade institucional, os quais ampliam a vulnerabilidade populacional e dificultam o acesso oportuno ao cuidado. Essa perspectiva reforça a compreensão da emergência sanitária como fenômeno socialmente determinado, que transcende a dimensão biomédica. Nessa direção, </w:t>
      </w:r>
      <w:proofErr w:type="spellStart"/>
      <w:r w:rsidRPr="00243910">
        <w:rPr>
          <w:rFonts w:ascii="High Tower Text" w:eastAsia="Arial" w:hAnsi="High Tower Text" w:cs="Arial"/>
          <w:szCs w:val="24"/>
        </w:rPr>
        <w:t>Ranakoti</w:t>
      </w:r>
      <w:proofErr w:type="spellEnd"/>
      <w:r w:rsidRPr="00243910">
        <w:rPr>
          <w:rFonts w:ascii="High Tower Text" w:eastAsia="Arial" w:hAnsi="High Tower Text" w:cs="Arial"/>
          <w:i/>
          <w:iCs/>
          <w:szCs w:val="24"/>
        </w:rPr>
        <w:t xml:space="preserve"> et al</w:t>
      </w:r>
      <w:r w:rsidRPr="00243910">
        <w:rPr>
          <w:rFonts w:ascii="High Tower Text" w:eastAsia="Arial" w:hAnsi="High Tower Text" w:cs="Arial"/>
          <w:szCs w:val="24"/>
        </w:rPr>
        <w:t xml:space="preserve">. (2025) defendem a abordagem </w:t>
      </w:r>
      <w:proofErr w:type="spellStart"/>
      <w:r w:rsidRPr="00243910">
        <w:rPr>
          <w:rFonts w:ascii="High Tower Text" w:eastAsia="Arial" w:hAnsi="High Tower Text" w:cs="Arial"/>
          <w:szCs w:val="24"/>
        </w:rPr>
        <w:t>One</w:t>
      </w:r>
      <w:proofErr w:type="spellEnd"/>
      <w:r w:rsidRPr="00243910">
        <w:rPr>
          <w:rFonts w:ascii="High Tower Text" w:eastAsia="Arial" w:hAnsi="High Tower Text" w:cs="Arial"/>
          <w:szCs w:val="24"/>
        </w:rPr>
        <w:t xml:space="preserve"> Health como estratégia essencial para enfrentamento de zoonoses emergentes, ao integrar </w:t>
      </w:r>
      <w:r w:rsidRPr="00243910">
        <w:rPr>
          <w:rFonts w:ascii="High Tower Text" w:eastAsia="Arial" w:hAnsi="High Tower Text" w:cs="Arial"/>
          <w:szCs w:val="24"/>
        </w:rPr>
        <w:lastRenderedPageBreak/>
        <w:t>saúde humana, animal e ambiental na formulação de políticas públicas. Para os autores, a ausência de integração intersetorial compromete a capacidade de prevenção e resposta a eventos sanitários complexos.</w:t>
      </w:r>
    </w:p>
    <w:p w14:paraId="00434EE3" w14:textId="77777777" w:rsidR="00243910" w:rsidRPr="00243910" w:rsidRDefault="00243910" w:rsidP="00243910">
      <w:pPr>
        <w:spacing w:line="360" w:lineRule="auto"/>
        <w:ind w:firstLine="709"/>
        <w:rPr>
          <w:rFonts w:ascii="High Tower Text" w:eastAsia="Arial" w:hAnsi="High Tower Text" w:cs="Arial"/>
          <w:szCs w:val="24"/>
        </w:rPr>
      </w:pPr>
      <w:r w:rsidRPr="00243910">
        <w:rPr>
          <w:rFonts w:ascii="High Tower Text" w:eastAsia="Arial" w:hAnsi="High Tower Text" w:cs="Arial"/>
          <w:szCs w:val="24"/>
        </w:rPr>
        <w:t xml:space="preserve">Ao analisar o conjunto das evidências, observa-se que a resposta brasileira à </w:t>
      </w:r>
      <w:proofErr w:type="spellStart"/>
      <w:r w:rsidRPr="00243910">
        <w:rPr>
          <w:rFonts w:ascii="High Tower Text" w:eastAsia="Arial" w:hAnsi="High Tower Text" w:cs="Arial"/>
          <w:szCs w:val="24"/>
        </w:rPr>
        <w:t>Monkeypox</w:t>
      </w:r>
      <w:proofErr w:type="spellEnd"/>
      <w:r w:rsidRPr="00243910">
        <w:rPr>
          <w:rFonts w:ascii="High Tower Text" w:eastAsia="Arial" w:hAnsi="High Tower Text" w:cs="Arial"/>
          <w:szCs w:val="24"/>
        </w:rPr>
        <w:t xml:space="preserve"> foi marcada por mobilização normativa relativamente rápida e alinhamento às recomendações internacionais da Organização Pan-Americana da Saúde (Organização Pan-Americana da Saúde, 2022). Entretanto, como apontam Boing </w:t>
      </w:r>
      <w:r w:rsidRPr="00243910">
        <w:rPr>
          <w:rFonts w:ascii="High Tower Text" w:eastAsia="Arial" w:hAnsi="High Tower Text" w:cs="Arial"/>
          <w:i/>
          <w:iCs/>
          <w:szCs w:val="24"/>
        </w:rPr>
        <w:t>et al.</w:t>
      </w:r>
      <w:r w:rsidRPr="00243910">
        <w:rPr>
          <w:rFonts w:ascii="High Tower Text" w:eastAsia="Arial" w:hAnsi="High Tower Text" w:cs="Arial"/>
          <w:szCs w:val="24"/>
        </w:rPr>
        <w:t xml:space="preserve"> (2022), a efetividade da governança sanitária depende da capacidade de transformar diretrizes em práticas concretas, o que requer financiamento adequado, coordenação federativa e fortalecimento da infraestrutura do sistema de saúde.</w:t>
      </w:r>
    </w:p>
    <w:p w14:paraId="002C5A77" w14:textId="1D9C0245" w:rsidR="00243910" w:rsidRPr="00243910" w:rsidRDefault="00243910" w:rsidP="00243910">
      <w:pPr>
        <w:spacing w:line="360" w:lineRule="auto"/>
        <w:ind w:firstLine="709"/>
        <w:rPr>
          <w:rFonts w:ascii="High Tower Text" w:eastAsia="Arial" w:hAnsi="High Tower Text" w:cs="Arial"/>
          <w:szCs w:val="24"/>
        </w:rPr>
      </w:pPr>
      <w:r w:rsidRPr="00243910">
        <w:rPr>
          <w:rFonts w:ascii="High Tower Text" w:eastAsia="Arial" w:hAnsi="High Tower Text" w:cs="Arial"/>
          <w:szCs w:val="24"/>
        </w:rPr>
        <w:t xml:space="preserve">Assim, a discussão evidencia que a emergência da </w:t>
      </w:r>
      <w:proofErr w:type="spellStart"/>
      <w:r w:rsidRPr="00243910">
        <w:rPr>
          <w:rFonts w:ascii="High Tower Text" w:eastAsia="Arial" w:hAnsi="High Tower Text" w:cs="Arial"/>
          <w:szCs w:val="24"/>
        </w:rPr>
        <w:t>Monkeypox</w:t>
      </w:r>
      <w:proofErr w:type="spellEnd"/>
      <w:r w:rsidRPr="00243910">
        <w:rPr>
          <w:rFonts w:ascii="High Tower Text" w:eastAsia="Arial" w:hAnsi="High Tower Text" w:cs="Arial"/>
          <w:szCs w:val="24"/>
        </w:rPr>
        <w:t xml:space="preserve"> funcionou como catalisador para reflexão sobre a resiliência do sistema de saúde brasileiro. A experiência acumulada demonstra avanços institucionais importantes, mas também revela a necessidade de consolidar mecanismos permanentes de vigilância, investir em capacidade laboratorial, qualificar profissionais e fortalecer estratégias de comunicação de risco. Em síntese, a </w:t>
      </w:r>
      <w:proofErr w:type="spellStart"/>
      <w:r w:rsidRPr="00243910">
        <w:rPr>
          <w:rFonts w:ascii="High Tower Text" w:eastAsia="Arial" w:hAnsi="High Tower Text" w:cs="Arial"/>
          <w:szCs w:val="24"/>
        </w:rPr>
        <w:t>Monkeypox</w:t>
      </w:r>
      <w:proofErr w:type="spellEnd"/>
      <w:r w:rsidRPr="00243910">
        <w:rPr>
          <w:rFonts w:ascii="High Tower Text" w:eastAsia="Arial" w:hAnsi="High Tower Text" w:cs="Arial"/>
          <w:szCs w:val="24"/>
        </w:rPr>
        <w:t xml:space="preserve"> expôs a interdependência entre governança, equidade e sustentabilidade das políticas públicas, reafirmando que a preparação para emergências sanitárias deve ser concebida como prioridade estratégica contínua e não apenas como resposta reativa a crises episódicas.</w:t>
      </w:r>
    </w:p>
    <w:p w14:paraId="409727E6" w14:textId="77777777" w:rsidR="00243910" w:rsidRPr="00243910" w:rsidRDefault="00243910" w:rsidP="00243910">
      <w:pPr>
        <w:spacing w:before="100" w:beforeAutospacing="1" w:after="100" w:afterAutospacing="1"/>
        <w:rPr>
          <w:rFonts w:ascii="High Tower Text" w:eastAsia="Arial" w:hAnsi="High Tower Text" w:cs="Arial"/>
          <w:szCs w:val="24"/>
        </w:rPr>
      </w:pPr>
      <w:r w:rsidRPr="00243910">
        <w:rPr>
          <w:rFonts w:ascii="High Tower Text" w:eastAsia="Arial" w:hAnsi="High Tower Text" w:cs="Arial"/>
          <w:b/>
          <w:bCs/>
          <w:szCs w:val="24"/>
        </w:rPr>
        <w:t>CONSIDERAÇÕES FINAIS</w:t>
      </w:r>
    </w:p>
    <w:p w14:paraId="01E283E4" w14:textId="77777777" w:rsidR="00243910" w:rsidRPr="00243910" w:rsidRDefault="00243910" w:rsidP="00243910">
      <w:pPr>
        <w:spacing w:line="360" w:lineRule="auto"/>
        <w:ind w:firstLine="709"/>
        <w:rPr>
          <w:rFonts w:ascii="High Tower Text" w:eastAsia="Arial" w:hAnsi="High Tower Text" w:cs="Arial"/>
          <w:szCs w:val="24"/>
        </w:rPr>
      </w:pPr>
      <w:r w:rsidRPr="00243910">
        <w:rPr>
          <w:rFonts w:ascii="High Tower Text" w:eastAsia="Arial" w:hAnsi="High Tower Text" w:cs="Arial"/>
          <w:szCs w:val="24"/>
        </w:rPr>
        <w:t xml:space="preserve">A emergência da </w:t>
      </w:r>
      <w:proofErr w:type="spellStart"/>
      <w:r w:rsidRPr="00243910">
        <w:rPr>
          <w:rFonts w:ascii="High Tower Text" w:eastAsia="Arial" w:hAnsi="High Tower Text" w:cs="Arial"/>
          <w:szCs w:val="24"/>
        </w:rPr>
        <w:t>Monkeypox</w:t>
      </w:r>
      <w:proofErr w:type="spellEnd"/>
      <w:r w:rsidRPr="00243910">
        <w:rPr>
          <w:rFonts w:ascii="High Tower Text" w:eastAsia="Arial" w:hAnsi="High Tower Text" w:cs="Arial"/>
          <w:szCs w:val="24"/>
        </w:rPr>
        <w:t xml:space="preserve">, a partir de 2022, evidenciou a complexidade das ameaças sanitárias contemporâneas e a necessidade de respostas articuladas em múltiplos níveis de governança. A rápida disseminação internacional e o reconhecimento do evento como Emergência de Saúde Pública de Importância Internacional pela World Health </w:t>
      </w:r>
      <w:proofErr w:type="spellStart"/>
      <w:r w:rsidRPr="00243910">
        <w:rPr>
          <w:rFonts w:ascii="High Tower Text" w:eastAsia="Arial" w:hAnsi="High Tower Text" w:cs="Arial"/>
          <w:szCs w:val="24"/>
        </w:rPr>
        <w:t>Organization</w:t>
      </w:r>
      <w:proofErr w:type="spellEnd"/>
      <w:r w:rsidRPr="00243910">
        <w:rPr>
          <w:rFonts w:ascii="High Tower Text" w:eastAsia="Arial" w:hAnsi="High Tower Text" w:cs="Arial"/>
          <w:szCs w:val="24"/>
        </w:rPr>
        <w:t xml:space="preserve"> reforçaram a centralidade da cooperação entre países, da vigilância epidemiológica sensível e da capacidade de resposta tempestiva dos sistemas de saúde. No contexto brasileiro, a declaração de Emergência em Saúde Pública de Importância Nacional e a publicação de instrumentos normativos específicos demonstraram mobilização institucional relevante diante do cenário emergencial.</w:t>
      </w:r>
    </w:p>
    <w:p w14:paraId="69EA81D1" w14:textId="77777777" w:rsidR="00243910" w:rsidRPr="00243910" w:rsidRDefault="00243910" w:rsidP="00243910">
      <w:pPr>
        <w:spacing w:line="360" w:lineRule="auto"/>
        <w:ind w:firstLine="709"/>
        <w:rPr>
          <w:rFonts w:ascii="High Tower Text" w:eastAsia="Arial" w:hAnsi="High Tower Text" w:cs="Arial"/>
          <w:szCs w:val="24"/>
        </w:rPr>
      </w:pPr>
      <w:r w:rsidRPr="00243910">
        <w:rPr>
          <w:rFonts w:ascii="High Tower Text" w:eastAsia="Arial" w:hAnsi="High Tower Text" w:cs="Arial"/>
          <w:szCs w:val="24"/>
        </w:rPr>
        <w:t xml:space="preserve">Entretanto, os achados analisados indicam que a existência de marcos legais e diretrizes técnicas, embora fundamentais, não é suficiente para assegurar efetividade operacional. Persistem desafios relacionados à heterogeneidade regional, à capacidade diagnóstica e </w:t>
      </w:r>
      <w:r w:rsidRPr="00243910">
        <w:rPr>
          <w:rFonts w:ascii="High Tower Text" w:eastAsia="Arial" w:hAnsi="High Tower Text" w:cs="Arial"/>
          <w:szCs w:val="24"/>
        </w:rPr>
        <w:lastRenderedPageBreak/>
        <w:t>laboratorial, à integração entre vigilância e assistência e à consolidação de fluxos interfederativos coordenados. Tais limitações evidenciam que a governança sanitária requer não apenas normatização, mas também investimento contínuo em infraestrutura, qualificação profissional e sistemas de informação integrados.</w:t>
      </w:r>
    </w:p>
    <w:p w14:paraId="64830D69" w14:textId="77777777" w:rsidR="00243910" w:rsidRPr="00243910" w:rsidRDefault="00243910" w:rsidP="00243910">
      <w:pPr>
        <w:spacing w:line="360" w:lineRule="auto"/>
        <w:ind w:firstLine="709"/>
        <w:rPr>
          <w:rFonts w:ascii="High Tower Text" w:eastAsia="Arial" w:hAnsi="High Tower Text" w:cs="Arial"/>
          <w:szCs w:val="24"/>
        </w:rPr>
      </w:pPr>
      <w:r w:rsidRPr="00243910">
        <w:rPr>
          <w:rFonts w:ascii="High Tower Text" w:eastAsia="Arial" w:hAnsi="High Tower Text" w:cs="Arial"/>
          <w:szCs w:val="24"/>
        </w:rPr>
        <w:t xml:space="preserve">A experiência brasileira com a </w:t>
      </w:r>
      <w:proofErr w:type="spellStart"/>
      <w:r w:rsidRPr="00243910">
        <w:rPr>
          <w:rFonts w:ascii="High Tower Text" w:eastAsia="Arial" w:hAnsi="High Tower Text" w:cs="Arial"/>
          <w:szCs w:val="24"/>
        </w:rPr>
        <w:t>Monkeypox</w:t>
      </w:r>
      <w:proofErr w:type="spellEnd"/>
      <w:r w:rsidRPr="00243910">
        <w:rPr>
          <w:rFonts w:ascii="High Tower Text" w:eastAsia="Arial" w:hAnsi="High Tower Text" w:cs="Arial"/>
          <w:szCs w:val="24"/>
        </w:rPr>
        <w:t xml:space="preserve"> também revelou a importância estratégica da comunicação de risco e do engajamento comunitário. A circulação de desinformação e a estigmatização de grupos específicos demonstraram que emergências sanitárias exigem abordagens fundamentadas em direitos humanos, transparência e participação social. Nesse sentido, o fortalecimento de canais institucionais de diálogo com a sociedade constitui elemento essencial para ampliar adesão às medidas preventivas e consolidar confiança nas autoridades sanitárias.</w:t>
      </w:r>
    </w:p>
    <w:p w14:paraId="12A667DD" w14:textId="77777777" w:rsidR="00243910" w:rsidRPr="00243910" w:rsidRDefault="00243910" w:rsidP="00243910">
      <w:pPr>
        <w:spacing w:line="360" w:lineRule="auto"/>
        <w:ind w:firstLine="709"/>
        <w:rPr>
          <w:rFonts w:ascii="High Tower Text" w:eastAsia="Arial" w:hAnsi="High Tower Text" w:cs="Arial"/>
          <w:szCs w:val="24"/>
        </w:rPr>
      </w:pPr>
      <w:r w:rsidRPr="00243910">
        <w:rPr>
          <w:rFonts w:ascii="High Tower Text" w:eastAsia="Arial" w:hAnsi="High Tower Text" w:cs="Arial"/>
          <w:szCs w:val="24"/>
        </w:rPr>
        <w:t xml:space="preserve">Além disso, a análise reforça que a </w:t>
      </w:r>
      <w:proofErr w:type="spellStart"/>
      <w:r w:rsidRPr="00243910">
        <w:rPr>
          <w:rFonts w:ascii="High Tower Text" w:eastAsia="Arial" w:hAnsi="High Tower Text" w:cs="Arial"/>
          <w:szCs w:val="24"/>
        </w:rPr>
        <w:t>Monkeypox</w:t>
      </w:r>
      <w:proofErr w:type="spellEnd"/>
      <w:r w:rsidRPr="00243910">
        <w:rPr>
          <w:rFonts w:ascii="High Tower Text" w:eastAsia="Arial" w:hAnsi="High Tower Text" w:cs="Arial"/>
          <w:szCs w:val="24"/>
        </w:rPr>
        <w:t xml:space="preserve"> deve ser compreendida à luz dos determinantes sociais da saúde. Desigualdades socioeconômicas, acesso desigual aos serviços e vulnerabilidades estruturais potencializam a disseminação de doenças infecciosas e dificultam a implementação equitativa das ações de controle. A incorporação da abordagem </w:t>
      </w:r>
      <w:proofErr w:type="spellStart"/>
      <w:r w:rsidRPr="00243910">
        <w:rPr>
          <w:rFonts w:ascii="High Tower Text" w:eastAsia="Arial" w:hAnsi="High Tower Text" w:cs="Arial"/>
          <w:szCs w:val="24"/>
        </w:rPr>
        <w:t>One</w:t>
      </w:r>
      <w:proofErr w:type="spellEnd"/>
      <w:r w:rsidRPr="00243910">
        <w:rPr>
          <w:rFonts w:ascii="High Tower Text" w:eastAsia="Arial" w:hAnsi="High Tower Text" w:cs="Arial"/>
          <w:szCs w:val="24"/>
        </w:rPr>
        <w:t xml:space="preserve"> Health às políticas públicas apresenta-se como perspectiva estratégica para integração entre saúde humana, animal e ambiental, contribuindo para prevenção de futuras zoonoses emergentes.</w:t>
      </w:r>
    </w:p>
    <w:p w14:paraId="14EB4049" w14:textId="77777777" w:rsidR="00243910" w:rsidRPr="00243910" w:rsidRDefault="00243910" w:rsidP="00243910">
      <w:pPr>
        <w:spacing w:line="360" w:lineRule="auto"/>
        <w:ind w:firstLine="709"/>
        <w:rPr>
          <w:rFonts w:ascii="High Tower Text" w:eastAsia="Arial" w:hAnsi="High Tower Text" w:cs="Arial"/>
          <w:szCs w:val="24"/>
        </w:rPr>
      </w:pPr>
      <w:r w:rsidRPr="00243910">
        <w:rPr>
          <w:rFonts w:ascii="High Tower Text" w:eastAsia="Arial" w:hAnsi="High Tower Text" w:cs="Arial"/>
          <w:szCs w:val="24"/>
        </w:rPr>
        <w:t xml:space="preserve">De forma ampla, conclui-se que a emergência da </w:t>
      </w:r>
      <w:proofErr w:type="spellStart"/>
      <w:r w:rsidRPr="00243910">
        <w:rPr>
          <w:rFonts w:ascii="High Tower Text" w:eastAsia="Arial" w:hAnsi="High Tower Text" w:cs="Arial"/>
          <w:szCs w:val="24"/>
        </w:rPr>
        <w:t>Monkeypox</w:t>
      </w:r>
      <w:proofErr w:type="spellEnd"/>
      <w:r w:rsidRPr="00243910">
        <w:rPr>
          <w:rFonts w:ascii="High Tower Text" w:eastAsia="Arial" w:hAnsi="High Tower Text" w:cs="Arial"/>
          <w:szCs w:val="24"/>
        </w:rPr>
        <w:t xml:space="preserve"> funcionou como importante teste à resiliência do sistema de saúde brasileiro. Houve avanços significativos na mobilização normativa e no alinhamento às recomendações internacionais, incluindo aquelas da Organização Pan-Americana da Saúde, contudo permanecem lacunas estruturais que demandam atenção permanente. O fortalecimento da vigilância epidemiológica, da capacidade laboratorial, da articulação federativa e da governança intersetorial deve ser compreendido como investimento estratégico para mitigação de riscos sanitários futuros.</w:t>
      </w:r>
    </w:p>
    <w:p w14:paraId="200DF070" w14:textId="77777777" w:rsidR="00243910" w:rsidRPr="00243910" w:rsidRDefault="00243910" w:rsidP="00243910">
      <w:pPr>
        <w:spacing w:line="360" w:lineRule="auto"/>
        <w:ind w:firstLine="709"/>
        <w:rPr>
          <w:rFonts w:ascii="High Tower Text" w:eastAsia="Arial" w:hAnsi="High Tower Text" w:cs="Arial"/>
          <w:szCs w:val="24"/>
        </w:rPr>
      </w:pPr>
      <w:r w:rsidRPr="00243910">
        <w:rPr>
          <w:rFonts w:ascii="High Tower Text" w:eastAsia="Arial" w:hAnsi="High Tower Text" w:cs="Arial"/>
          <w:szCs w:val="24"/>
        </w:rPr>
        <w:t xml:space="preserve">Como sugestão para pesquisas futuras, recomenda-se a realização de estudos avaliativos de abordagem mista (quantitativa e qualitativa) que analisem a efetividade das medidas implementadas durante a emergência da </w:t>
      </w:r>
      <w:proofErr w:type="spellStart"/>
      <w:r w:rsidRPr="00243910">
        <w:rPr>
          <w:rFonts w:ascii="High Tower Text" w:eastAsia="Arial" w:hAnsi="High Tower Text" w:cs="Arial"/>
          <w:szCs w:val="24"/>
        </w:rPr>
        <w:t>Monkeypox</w:t>
      </w:r>
      <w:proofErr w:type="spellEnd"/>
      <w:r w:rsidRPr="00243910">
        <w:rPr>
          <w:rFonts w:ascii="High Tower Text" w:eastAsia="Arial" w:hAnsi="High Tower Text" w:cs="Arial"/>
          <w:szCs w:val="24"/>
        </w:rPr>
        <w:t xml:space="preserve"> no Brasil, considerando indicadores de detecção precoce, tempo de resposta, equidade no acesso ao diagnóstico e impacto das estratégias de comunicação de risco. Investigações comparativas entre diferentes estados ou regiões poderão contribuir para identificar boas práticas, fragilidades estruturais e caminhos para o aprimoramento da governança sanitária em contextos de emergências de saúde pública.</w:t>
      </w:r>
    </w:p>
    <w:p w14:paraId="51CDA9D7" w14:textId="77777777" w:rsidR="00243910" w:rsidRPr="00243910" w:rsidRDefault="00243910" w:rsidP="00243910">
      <w:pPr>
        <w:spacing w:after="120"/>
        <w:ind w:hanging="2"/>
        <w:rPr>
          <w:rFonts w:ascii="High Tower Text" w:eastAsia="Arial" w:hAnsi="High Tower Text" w:cs="Arial"/>
          <w:szCs w:val="24"/>
        </w:rPr>
      </w:pPr>
    </w:p>
    <w:p w14:paraId="59F97CF0" w14:textId="77777777" w:rsidR="00243910" w:rsidRPr="00243910" w:rsidRDefault="00243910" w:rsidP="00243910">
      <w:pPr>
        <w:spacing w:before="100" w:beforeAutospacing="1" w:after="100" w:afterAutospacing="1"/>
        <w:rPr>
          <w:rFonts w:ascii="High Tower Text" w:eastAsia="Arial" w:hAnsi="High Tower Text" w:cs="Arial"/>
          <w:szCs w:val="24"/>
        </w:rPr>
      </w:pPr>
      <w:r w:rsidRPr="00243910">
        <w:rPr>
          <w:rFonts w:ascii="High Tower Text" w:eastAsia="Arial" w:hAnsi="High Tower Text" w:cs="Arial"/>
          <w:b/>
          <w:bCs/>
          <w:szCs w:val="24"/>
        </w:rPr>
        <w:lastRenderedPageBreak/>
        <w:t>REFERÊNCIAS</w:t>
      </w:r>
    </w:p>
    <w:p w14:paraId="533AE93D" w14:textId="77777777" w:rsidR="00243910" w:rsidRPr="00243910" w:rsidRDefault="00243910" w:rsidP="00B7427D">
      <w:pPr>
        <w:numPr>
          <w:ilvl w:val="0"/>
          <w:numId w:val="8"/>
        </w:numPr>
        <w:spacing w:before="120" w:after="240"/>
        <w:ind w:left="284" w:right="56" w:hanging="284"/>
        <w:rPr>
          <w:rFonts w:ascii="High Tower Text" w:eastAsia="Arial" w:hAnsi="High Tower Text" w:cs="Arial"/>
          <w:szCs w:val="24"/>
        </w:rPr>
      </w:pPr>
      <w:r w:rsidRPr="00243910">
        <w:rPr>
          <w:rFonts w:ascii="High Tower Text" w:eastAsia="Arial" w:hAnsi="High Tower Text" w:cs="Arial"/>
          <w:szCs w:val="24"/>
        </w:rPr>
        <w:t xml:space="preserve">AGÊNCIA NACIONAL DE VIGILÂNCIA SANITÁRIA. Nota técnica sobre vigilância, prevenção e controle da </w:t>
      </w:r>
      <w:proofErr w:type="spellStart"/>
      <w:r w:rsidRPr="00243910">
        <w:rPr>
          <w:rFonts w:ascii="High Tower Text" w:eastAsia="Arial" w:hAnsi="High Tower Text" w:cs="Arial"/>
          <w:szCs w:val="24"/>
        </w:rPr>
        <w:t>Monkeypox</w:t>
      </w:r>
      <w:proofErr w:type="spellEnd"/>
      <w:r w:rsidRPr="00243910">
        <w:rPr>
          <w:rFonts w:ascii="High Tower Text" w:eastAsia="Arial" w:hAnsi="High Tower Text" w:cs="Arial"/>
          <w:szCs w:val="24"/>
        </w:rPr>
        <w:t xml:space="preserve"> no Brasil. Brasília: ANVISA, 2022.</w:t>
      </w:r>
    </w:p>
    <w:p w14:paraId="1612B223" w14:textId="77777777" w:rsidR="00243910" w:rsidRPr="00243910" w:rsidRDefault="00243910" w:rsidP="00B7427D">
      <w:pPr>
        <w:numPr>
          <w:ilvl w:val="0"/>
          <w:numId w:val="8"/>
        </w:numPr>
        <w:spacing w:before="120" w:after="240"/>
        <w:ind w:left="284" w:right="56" w:hanging="284"/>
        <w:rPr>
          <w:rFonts w:ascii="High Tower Text" w:eastAsia="Arial" w:hAnsi="High Tower Text" w:cs="Arial"/>
          <w:szCs w:val="24"/>
        </w:rPr>
      </w:pPr>
      <w:r w:rsidRPr="00243910">
        <w:rPr>
          <w:rFonts w:ascii="High Tower Text" w:eastAsia="Arial" w:hAnsi="High Tower Text" w:cs="Arial"/>
          <w:szCs w:val="24"/>
        </w:rPr>
        <w:t>ANJOS, V. P. dos et al. Varíola dos macacos: uma emergência de saúde pública. Pesquisa, Sociedade e Desenvolvimento, [S. l.], v. 12, n. 6, p. e9712642096, 2023.</w:t>
      </w:r>
    </w:p>
    <w:p w14:paraId="6648AE8C" w14:textId="77777777" w:rsidR="00243910" w:rsidRPr="00243910" w:rsidRDefault="00243910" w:rsidP="00B7427D">
      <w:pPr>
        <w:numPr>
          <w:ilvl w:val="0"/>
          <w:numId w:val="8"/>
        </w:numPr>
        <w:spacing w:before="120" w:after="240"/>
        <w:ind w:left="284" w:right="56" w:hanging="284"/>
        <w:rPr>
          <w:rFonts w:ascii="High Tower Text" w:eastAsia="Arial" w:hAnsi="High Tower Text" w:cs="Arial"/>
          <w:szCs w:val="24"/>
          <w:lang w:val="en-US"/>
        </w:rPr>
      </w:pPr>
      <w:r w:rsidRPr="00243910">
        <w:rPr>
          <w:rFonts w:ascii="High Tower Text" w:eastAsia="Arial" w:hAnsi="High Tower Text" w:cs="Arial"/>
          <w:szCs w:val="24"/>
          <w:lang w:val="en-US"/>
        </w:rPr>
        <w:t xml:space="preserve">AZIZ, M. </w:t>
      </w:r>
      <w:r w:rsidRPr="00243910">
        <w:rPr>
          <w:rFonts w:ascii="High Tower Text" w:eastAsia="Arial" w:hAnsi="High Tower Text" w:cs="Arial"/>
          <w:i/>
          <w:iCs/>
          <w:szCs w:val="24"/>
          <w:lang w:val="en-US"/>
        </w:rPr>
        <w:t>et al</w:t>
      </w:r>
      <w:r w:rsidRPr="00243910">
        <w:rPr>
          <w:rFonts w:ascii="High Tower Text" w:eastAsia="Arial" w:hAnsi="High Tower Text" w:cs="Arial"/>
          <w:szCs w:val="24"/>
          <w:lang w:val="en-US"/>
        </w:rPr>
        <w:t xml:space="preserve">. </w:t>
      </w:r>
      <w:proofErr w:type="gramStart"/>
      <w:r w:rsidRPr="00243910">
        <w:rPr>
          <w:rFonts w:ascii="High Tower Text" w:eastAsia="Arial" w:hAnsi="High Tower Text" w:cs="Arial"/>
          <w:szCs w:val="24"/>
          <w:lang w:val="en-US"/>
        </w:rPr>
        <w:t>Public</w:t>
      </w:r>
      <w:proofErr w:type="gramEnd"/>
      <w:r w:rsidRPr="00243910">
        <w:rPr>
          <w:rFonts w:ascii="High Tower Text" w:eastAsia="Arial" w:hAnsi="High Tower Text" w:cs="Arial"/>
          <w:szCs w:val="24"/>
          <w:lang w:val="en-US"/>
        </w:rPr>
        <w:t xml:space="preserve"> health response and control measures for Monkeypox virus outbreaks: a review of past and present outbreak responses, highlighting successes, challenges, and lessons learned. Journal of Neonatal Surgery, v. 14, 2025.</w:t>
      </w:r>
    </w:p>
    <w:p w14:paraId="0D5D15CB" w14:textId="77777777" w:rsidR="00243910" w:rsidRPr="00243910" w:rsidRDefault="00243910" w:rsidP="00B7427D">
      <w:pPr>
        <w:numPr>
          <w:ilvl w:val="0"/>
          <w:numId w:val="8"/>
        </w:numPr>
        <w:spacing w:before="120" w:after="240"/>
        <w:ind w:left="284" w:right="56" w:hanging="284"/>
        <w:rPr>
          <w:rFonts w:ascii="High Tower Text" w:eastAsia="Arial" w:hAnsi="High Tower Text" w:cs="Arial"/>
          <w:szCs w:val="24"/>
          <w:lang w:val="en-US"/>
        </w:rPr>
      </w:pPr>
      <w:r w:rsidRPr="00243910">
        <w:rPr>
          <w:rFonts w:ascii="High Tower Text" w:eastAsia="Arial" w:hAnsi="High Tower Text" w:cs="Arial"/>
          <w:szCs w:val="24"/>
          <w:lang w:val="en-US"/>
        </w:rPr>
        <w:t xml:space="preserve">BOCHNER, A. </w:t>
      </w:r>
      <w:r w:rsidRPr="00243910">
        <w:rPr>
          <w:rFonts w:ascii="High Tower Text" w:eastAsia="Arial" w:hAnsi="High Tower Text" w:cs="Arial"/>
          <w:i/>
          <w:iCs/>
          <w:szCs w:val="24"/>
          <w:lang w:val="en-US"/>
        </w:rPr>
        <w:t>et al</w:t>
      </w:r>
      <w:r w:rsidRPr="00243910">
        <w:rPr>
          <w:rFonts w:ascii="High Tower Text" w:eastAsia="Arial" w:hAnsi="High Tower Text" w:cs="Arial"/>
          <w:szCs w:val="24"/>
          <w:lang w:val="en-US"/>
        </w:rPr>
        <w:t>. Implementation of the 7-1-7 target for detection, notification, and response to public health threats in five countries: a retrospective, observational study. The Lancet Global Health, v. 11, p. e871-e879, 2023.</w:t>
      </w:r>
    </w:p>
    <w:p w14:paraId="4719B38F" w14:textId="77777777" w:rsidR="00243910" w:rsidRPr="00243910" w:rsidRDefault="00243910" w:rsidP="00B7427D">
      <w:pPr>
        <w:numPr>
          <w:ilvl w:val="0"/>
          <w:numId w:val="8"/>
        </w:numPr>
        <w:spacing w:before="120" w:after="240"/>
        <w:ind w:left="284" w:right="56" w:hanging="284"/>
        <w:rPr>
          <w:rFonts w:ascii="High Tower Text" w:eastAsia="Arial" w:hAnsi="High Tower Text" w:cs="Arial"/>
          <w:szCs w:val="24"/>
        </w:rPr>
      </w:pPr>
      <w:r w:rsidRPr="00243910">
        <w:rPr>
          <w:rFonts w:ascii="High Tower Text" w:eastAsia="Arial" w:hAnsi="High Tower Text" w:cs="Arial"/>
          <w:szCs w:val="24"/>
          <w:lang w:val="en-US"/>
        </w:rPr>
        <w:t xml:space="preserve">BOING, A. C. </w:t>
      </w:r>
      <w:r w:rsidRPr="00243910">
        <w:rPr>
          <w:rFonts w:ascii="High Tower Text" w:eastAsia="Arial" w:hAnsi="High Tower Text" w:cs="Arial"/>
          <w:i/>
          <w:iCs/>
          <w:szCs w:val="24"/>
          <w:lang w:val="en-US"/>
        </w:rPr>
        <w:t>et al</w:t>
      </w:r>
      <w:r w:rsidRPr="00243910">
        <w:rPr>
          <w:rFonts w:ascii="High Tower Text" w:eastAsia="Arial" w:hAnsi="High Tower Text" w:cs="Arial"/>
          <w:szCs w:val="24"/>
          <w:lang w:val="en-US"/>
        </w:rPr>
        <w:t xml:space="preserve">. Monkeypox: what are we waiting for to act? </w:t>
      </w:r>
      <w:r w:rsidRPr="00243910">
        <w:rPr>
          <w:rFonts w:ascii="High Tower Text" w:eastAsia="Arial" w:hAnsi="High Tower Text" w:cs="Arial"/>
          <w:szCs w:val="24"/>
        </w:rPr>
        <w:t>Revista Brasileira de Epidemiologia, v. 25, e220020, 2022.</w:t>
      </w:r>
    </w:p>
    <w:p w14:paraId="400A523C" w14:textId="77777777" w:rsidR="00243910" w:rsidRPr="00243910" w:rsidRDefault="00243910" w:rsidP="00B7427D">
      <w:pPr>
        <w:numPr>
          <w:ilvl w:val="0"/>
          <w:numId w:val="8"/>
        </w:numPr>
        <w:spacing w:before="120" w:after="240"/>
        <w:ind w:left="284" w:right="56" w:hanging="284"/>
        <w:rPr>
          <w:rFonts w:ascii="High Tower Text" w:eastAsia="Arial" w:hAnsi="High Tower Text" w:cs="Arial"/>
          <w:szCs w:val="24"/>
        </w:rPr>
      </w:pPr>
      <w:r w:rsidRPr="00243910">
        <w:rPr>
          <w:rFonts w:ascii="High Tower Text" w:eastAsia="Arial" w:hAnsi="High Tower Text" w:cs="Arial"/>
          <w:szCs w:val="24"/>
        </w:rPr>
        <w:t xml:space="preserve">BRASIL. Ministério da Saúde. Guia de vigilância epidemiológica: emergência de saúde pública de importância nacional pela </w:t>
      </w:r>
      <w:proofErr w:type="spellStart"/>
      <w:r w:rsidRPr="00243910">
        <w:rPr>
          <w:rFonts w:ascii="High Tower Text" w:eastAsia="Arial" w:hAnsi="High Tower Text" w:cs="Arial"/>
          <w:szCs w:val="24"/>
        </w:rPr>
        <w:t>Monkeypox</w:t>
      </w:r>
      <w:proofErr w:type="spellEnd"/>
      <w:r w:rsidRPr="00243910">
        <w:rPr>
          <w:rFonts w:ascii="High Tower Text" w:eastAsia="Arial" w:hAnsi="High Tower Text" w:cs="Arial"/>
          <w:szCs w:val="24"/>
        </w:rPr>
        <w:t>. Brasília: Ministério da Saúde, 2022.</w:t>
      </w:r>
    </w:p>
    <w:p w14:paraId="6701A71B" w14:textId="77777777" w:rsidR="00243910" w:rsidRPr="00243910" w:rsidRDefault="00243910" w:rsidP="00B7427D">
      <w:pPr>
        <w:numPr>
          <w:ilvl w:val="0"/>
          <w:numId w:val="8"/>
        </w:numPr>
        <w:spacing w:before="120" w:after="240"/>
        <w:ind w:left="284" w:right="56" w:hanging="284"/>
        <w:rPr>
          <w:rFonts w:ascii="High Tower Text" w:eastAsia="Arial" w:hAnsi="High Tower Text" w:cs="Arial"/>
          <w:szCs w:val="24"/>
        </w:rPr>
      </w:pPr>
      <w:r w:rsidRPr="00243910">
        <w:rPr>
          <w:rFonts w:ascii="High Tower Text" w:eastAsia="Arial" w:hAnsi="High Tower Text" w:cs="Arial"/>
          <w:szCs w:val="24"/>
        </w:rPr>
        <w:t xml:space="preserve">BRASIL. Ministério da Saúde. Plano de contingência nacional para infecção humana pelo vírus </w:t>
      </w:r>
      <w:proofErr w:type="spellStart"/>
      <w:r w:rsidRPr="00243910">
        <w:rPr>
          <w:rFonts w:ascii="High Tower Text" w:eastAsia="Arial" w:hAnsi="High Tower Text" w:cs="Arial"/>
          <w:szCs w:val="24"/>
        </w:rPr>
        <w:t>Monkeypox</w:t>
      </w:r>
      <w:proofErr w:type="spellEnd"/>
      <w:r w:rsidRPr="00243910">
        <w:rPr>
          <w:rFonts w:ascii="High Tower Text" w:eastAsia="Arial" w:hAnsi="High Tower Text" w:cs="Arial"/>
          <w:szCs w:val="24"/>
        </w:rPr>
        <w:t>. Brasília: Ministério da Saúde, 2022.</w:t>
      </w:r>
    </w:p>
    <w:p w14:paraId="45749272" w14:textId="77777777" w:rsidR="00243910" w:rsidRPr="00243910" w:rsidRDefault="00243910" w:rsidP="00B7427D">
      <w:pPr>
        <w:numPr>
          <w:ilvl w:val="0"/>
          <w:numId w:val="8"/>
        </w:numPr>
        <w:spacing w:before="120" w:after="240"/>
        <w:ind w:left="284" w:right="56" w:hanging="284"/>
        <w:rPr>
          <w:rFonts w:ascii="High Tower Text" w:eastAsia="Arial" w:hAnsi="High Tower Text" w:cs="Arial"/>
          <w:szCs w:val="24"/>
        </w:rPr>
      </w:pPr>
      <w:r w:rsidRPr="00243910">
        <w:rPr>
          <w:rFonts w:ascii="High Tower Text" w:eastAsia="Arial" w:hAnsi="High Tower Text" w:cs="Arial"/>
          <w:szCs w:val="24"/>
        </w:rPr>
        <w:t xml:space="preserve">BRASIL. Ministério da Saúde. Portaria GM/MS nº 1.102, de 23 de maio de 2022. Declara Emergência em Saúde Pública de Importância Nacional (ESPIN) em decorrência da infecção humana pelo vírus </w:t>
      </w:r>
      <w:proofErr w:type="spellStart"/>
      <w:r w:rsidRPr="00243910">
        <w:rPr>
          <w:rFonts w:ascii="High Tower Text" w:eastAsia="Arial" w:hAnsi="High Tower Text" w:cs="Arial"/>
          <w:szCs w:val="24"/>
        </w:rPr>
        <w:t>Monkeypox</w:t>
      </w:r>
      <w:proofErr w:type="spellEnd"/>
      <w:r w:rsidRPr="00243910">
        <w:rPr>
          <w:rFonts w:ascii="High Tower Text" w:eastAsia="Arial" w:hAnsi="High Tower Text" w:cs="Arial"/>
          <w:szCs w:val="24"/>
        </w:rPr>
        <w:t>. Diário Oficial da União: Brasília, 2022.</w:t>
      </w:r>
    </w:p>
    <w:p w14:paraId="2422FEE0" w14:textId="77777777" w:rsidR="00243910" w:rsidRPr="00243910" w:rsidRDefault="00243910" w:rsidP="00B7427D">
      <w:pPr>
        <w:numPr>
          <w:ilvl w:val="0"/>
          <w:numId w:val="8"/>
        </w:numPr>
        <w:spacing w:before="120" w:after="240"/>
        <w:ind w:left="284" w:right="56" w:hanging="284"/>
        <w:rPr>
          <w:rFonts w:ascii="High Tower Text" w:eastAsia="Arial" w:hAnsi="High Tower Text" w:cs="Arial"/>
          <w:szCs w:val="24"/>
        </w:rPr>
      </w:pPr>
      <w:r w:rsidRPr="00243910">
        <w:rPr>
          <w:rFonts w:ascii="High Tower Text" w:eastAsia="Arial" w:hAnsi="High Tower Text" w:cs="Arial"/>
          <w:szCs w:val="24"/>
        </w:rPr>
        <w:t>FONSECA, N. B.</w:t>
      </w:r>
      <w:r w:rsidRPr="00243910">
        <w:rPr>
          <w:rFonts w:ascii="High Tower Text" w:eastAsia="Arial" w:hAnsi="High Tower Text" w:cs="Arial"/>
          <w:i/>
          <w:iCs/>
          <w:szCs w:val="24"/>
        </w:rPr>
        <w:t xml:space="preserve"> et al</w:t>
      </w:r>
      <w:r w:rsidRPr="00243910">
        <w:rPr>
          <w:rFonts w:ascii="High Tower Text" w:eastAsia="Arial" w:hAnsi="High Tower Text" w:cs="Arial"/>
          <w:szCs w:val="24"/>
        </w:rPr>
        <w:t xml:space="preserve">. </w:t>
      </w:r>
      <w:proofErr w:type="spellStart"/>
      <w:r w:rsidRPr="00243910">
        <w:rPr>
          <w:rFonts w:ascii="High Tower Text" w:eastAsia="Arial" w:hAnsi="High Tower Text" w:cs="Arial"/>
          <w:szCs w:val="24"/>
        </w:rPr>
        <w:t>Monkeypox</w:t>
      </w:r>
      <w:proofErr w:type="spellEnd"/>
      <w:r w:rsidRPr="00243910">
        <w:rPr>
          <w:rFonts w:ascii="High Tower Text" w:eastAsia="Arial" w:hAnsi="High Tower Text" w:cs="Arial"/>
          <w:szCs w:val="24"/>
        </w:rPr>
        <w:t>: epidemiologia e diagnóstico – um artigo de revisão. Revista Contemporânea, v. 5, n. 3, e7658, 2025.</w:t>
      </w:r>
    </w:p>
    <w:p w14:paraId="6D989A95" w14:textId="77777777" w:rsidR="00243910" w:rsidRPr="00243910" w:rsidRDefault="00243910" w:rsidP="00B7427D">
      <w:pPr>
        <w:numPr>
          <w:ilvl w:val="0"/>
          <w:numId w:val="8"/>
        </w:numPr>
        <w:spacing w:before="120" w:after="240"/>
        <w:ind w:left="284" w:right="56" w:hanging="284"/>
        <w:rPr>
          <w:rFonts w:ascii="High Tower Text" w:eastAsia="Arial" w:hAnsi="High Tower Text" w:cs="Arial"/>
          <w:szCs w:val="24"/>
        </w:rPr>
      </w:pPr>
      <w:r w:rsidRPr="00243910">
        <w:rPr>
          <w:rFonts w:ascii="High Tower Text" w:eastAsia="Arial" w:hAnsi="High Tower Text" w:cs="Arial"/>
          <w:szCs w:val="24"/>
          <w:lang w:val="en-US"/>
        </w:rPr>
        <w:t xml:space="preserve">GODINHO, F. </w:t>
      </w:r>
      <w:r w:rsidRPr="00243910">
        <w:rPr>
          <w:rFonts w:ascii="High Tower Text" w:eastAsia="Arial" w:hAnsi="High Tower Text" w:cs="Arial"/>
          <w:i/>
          <w:iCs/>
          <w:szCs w:val="24"/>
          <w:lang w:val="en-US"/>
        </w:rPr>
        <w:t>et al.</w:t>
      </w:r>
      <w:r w:rsidRPr="00243910">
        <w:rPr>
          <w:rFonts w:ascii="High Tower Text" w:eastAsia="Arial" w:hAnsi="High Tower Text" w:cs="Arial"/>
          <w:szCs w:val="24"/>
          <w:lang w:val="en-US"/>
        </w:rPr>
        <w:t xml:space="preserve"> Multiple introductions and sustained local transmission of Monkeypox virus in Southern Brazil between 2022–2023. </w:t>
      </w:r>
      <w:proofErr w:type="spellStart"/>
      <w:r w:rsidRPr="00243910">
        <w:rPr>
          <w:rFonts w:ascii="High Tower Text" w:eastAsia="Arial" w:hAnsi="High Tower Text" w:cs="Arial"/>
          <w:szCs w:val="24"/>
        </w:rPr>
        <w:t>Pathogens</w:t>
      </w:r>
      <w:proofErr w:type="spellEnd"/>
      <w:r w:rsidRPr="00243910">
        <w:rPr>
          <w:rFonts w:ascii="High Tower Text" w:eastAsia="Arial" w:hAnsi="High Tower Text" w:cs="Arial"/>
          <w:szCs w:val="24"/>
        </w:rPr>
        <w:t xml:space="preserve"> </w:t>
      </w:r>
      <w:proofErr w:type="spellStart"/>
      <w:r w:rsidRPr="00243910">
        <w:rPr>
          <w:rFonts w:ascii="High Tower Text" w:eastAsia="Arial" w:hAnsi="High Tower Text" w:cs="Arial"/>
          <w:szCs w:val="24"/>
        </w:rPr>
        <w:t>and</w:t>
      </w:r>
      <w:proofErr w:type="spellEnd"/>
      <w:r w:rsidRPr="00243910">
        <w:rPr>
          <w:rFonts w:ascii="High Tower Text" w:eastAsia="Arial" w:hAnsi="High Tower Text" w:cs="Arial"/>
          <w:szCs w:val="24"/>
        </w:rPr>
        <w:t xml:space="preserve"> Global Health, v. 119, p. 1-9, 2025.</w:t>
      </w:r>
    </w:p>
    <w:p w14:paraId="126F43B6" w14:textId="77777777" w:rsidR="00243910" w:rsidRPr="00243910" w:rsidRDefault="00243910" w:rsidP="00B7427D">
      <w:pPr>
        <w:numPr>
          <w:ilvl w:val="0"/>
          <w:numId w:val="8"/>
        </w:numPr>
        <w:spacing w:before="120" w:after="240"/>
        <w:ind w:left="284" w:right="56" w:hanging="284"/>
        <w:rPr>
          <w:rFonts w:ascii="High Tower Text" w:eastAsia="Arial" w:hAnsi="High Tower Text" w:cs="Arial"/>
          <w:szCs w:val="24"/>
        </w:rPr>
      </w:pPr>
      <w:r w:rsidRPr="00243910">
        <w:rPr>
          <w:rFonts w:ascii="High Tower Text" w:eastAsia="Arial" w:hAnsi="High Tower Text" w:cs="Arial"/>
          <w:szCs w:val="24"/>
          <w:lang w:val="en-US"/>
        </w:rPr>
        <w:t xml:space="preserve">JADHAV, V. </w:t>
      </w:r>
      <w:r w:rsidRPr="00243910">
        <w:rPr>
          <w:rFonts w:ascii="High Tower Text" w:eastAsia="Arial" w:hAnsi="High Tower Text" w:cs="Arial"/>
          <w:i/>
          <w:iCs/>
          <w:szCs w:val="24"/>
          <w:lang w:val="en-US"/>
        </w:rPr>
        <w:t>et al.</w:t>
      </w:r>
      <w:r w:rsidRPr="00243910">
        <w:rPr>
          <w:rFonts w:ascii="High Tower Text" w:eastAsia="Arial" w:hAnsi="High Tower Text" w:cs="Arial"/>
          <w:szCs w:val="24"/>
          <w:lang w:val="en-US"/>
        </w:rPr>
        <w:t xml:space="preserve"> Global epidemiology, viral evolution, and public health responses: a systematic review on Mpox (1958–2024). </w:t>
      </w:r>
      <w:proofErr w:type="spellStart"/>
      <w:r w:rsidRPr="00243910">
        <w:rPr>
          <w:rFonts w:ascii="High Tower Text" w:eastAsia="Arial" w:hAnsi="High Tower Text" w:cs="Arial"/>
          <w:szCs w:val="24"/>
        </w:rPr>
        <w:t>Journal</w:t>
      </w:r>
      <w:proofErr w:type="spellEnd"/>
      <w:r w:rsidRPr="00243910">
        <w:rPr>
          <w:rFonts w:ascii="High Tower Text" w:eastAsia="Arial" w:hAnsi="High Tower Text" w:cs="Arial"/>
          <w:szCs w:val="24"/>
        </w:rPr>
        <w:t xml:space="preserve"> </w:t>
      </w:r>
      <w:proofErr w:type="spellStart"/>
      <w:r w:rsidRPr="00243910">
        <w:rPr>
          <w:rFonts w:ascii="High Tower Text" w:eastAsia="Arial" w:hAnsi="High Tower Text" w:cs="Arial"/>
          <w:szCs w:val="24"/>
        </w:rPr>
        <w:t>of</w:t>
      </w:r>
      <w:proofErr w:type="spellEnd"/>
      <w:r w:rsidRPr="00243910">
        <w:rPr>
          <w:rFonts w:ascii="High Tower Text" w:eastAsia="Arial" w:hAnsi="High Tower Text" w:cs="Arial"/>
          <w:szCs w:val="24"/>
        </w:rPr>
        <w:t xml:space="preserve"> Global Health, v. 15, 2025.</w:t>
      </w:r>
    </w:p>
    <w:p w14:paraId="51856114" w14:textId="77777777" w:rsidR="00243910" w:rsidRPr="00243910" w:rsidRDefault="00243910" w:rsidP="00B7427D">
      <w:pPr>
        <w:numPr>
          <w:ilvl w:val="0"/>
          <w:numId w:val="8"/>
        </w:numPr>
        <w:spacing w:before="120" w:after="240"/>
        <w:ind w:left="284" w:right="56" w:hanging="284"/>
        <w:rPr>
          <w:rFonts w:ascii="High Tower Text" w:eastAsia="Arial" w:hAnsi="High Tower Text" w:cs="Arial"/>
          <w:szCs w:val="24"/>
        </w:rPr>
      </w:pPr>
      <w:r w:rsidRPr="00243910">
        <w:rPr>
          <w:rFonts w:ascii="High Tower Text" w:eastAsia="Arial" w:hAnsi="High Tower Text" w:cs="Arial"/>
          <w:szCs w:val="24"/>
        </w:rPr>
        <w:t xml:space="preserve">MACEDO, L. R.; MACIEL, E. L. N. </w:t>
      </w:r>
      <w:proofErr w:type="spellStart"/>
      <w:r w:rsidRPr="00243910">
        <w:rPr>
          <w:rFonts w:ascii="High Tower Text" w:eastAsia="Arial" w:hAnsi="High Tower Text" w:cs="Arial"/>
          <w:szCs w:val="24"/>
        </w:rPr>
        <w:t>Monkeypox</w:t>
      </w:r>
      <w:proofErr w:type="spellEnd"/>
      <w:r w:rsidRPr="00243910">
        <w:rPr>
          <w:rFonts w:ascii="High Tower Text" w:eastAsia="Arial" w:hAnsi="High Tower Text" w:cs="Arial"/>
          <w:szCs w:val="24"/>
        </w:rPr>
        <w:t>: contexto, implicações e desafios para serviços de saúde e vigilância. Epidemiologia e Serviços de Saúde, v. 32, n. 1, e2022723, 2023.</w:t>
      </w:r>
    </w:p>
    <w:p w14:paraId="04EA0C71" w14:textId="77777777" w:rsidR="00243910" w:rsidRPr="00243910" w:rsidRDefault="00243910" w:rsidP="00B7427D">
      <w:pPr>
        <w:numPr>
          <w:ilvl w:val="0"/>
          <w:numId w:val="8"/>
        </w:numPr>
        <w:spacing w:before="120" w:after="240"/>
        <w:ind w:left="284" w:right="56" w:hanging="284"/>
        <w:rPr>
          <w:rFonts w:ascii="High Tower Text" w:eastAsia="Arial" w:hAnsi="High Tower Text" w:cs="Arial"/>
          <w:szCs w:val="24"/>
        </w:rPr>
      </w:pPr>
      <w:r w:rsidRPr="00243910">
        <w:rPr>
          <w:rFonts w:ascii="High Tower Text" w:eastAsia="Arial" w:hAnsi="High Tower Text" w:cs="Arial"/>
          <w:szCs w:val="24"/>
          <w:lang w:val="en-US"/>
        </w:rPr>
        <w:t>MAMBO, S.</w:t>
      </w:r>
      <w:r w:rsidRPr="00243910">
        <w:rPr>
          <w:rFonts w:ascii="High Tower Text" w:eastAsia="Arial" w:hAnsi="High Tower Text" w:cs="Arial"/>
          <w:i/>
          <w:iCs/>
          <w:szCs w:val="24"/>
          <w:lang w:val="en-US"/>
        </w:rPr>
        <w:t xml:space="preserve"> et al.</w:t>
      </w:r>
      <w:r w:rsidRPr="00243910">
        <w:rPr>
          <w:rFonts w:ascii="High Tower Text" w:eastAsia="Arial" w:hAnsi="High Tower Text" w:cs="Arial"/>
          <w:szCs w:val="24"/>
          <w:lang w:val="en-US"/>
        </w:rPr>
        <w:t xml:space="preserve"> Promoting risk communication and community engagement during Mpox outbreak in fragile conflict zones of Eastern DRC. </w:t>
      </w:r>
      <w:proofErr w:type="spellStart"/>
      <w:r w:rsidRPr="00243910">
        <w:rPr>
          <w:rFonts w:ascii="High Tower Text" w:eastAsia="Arial" w:hAnsi="High Tower Text" w:cs="Arial"/>
          <w:szCs w:val="24"/>
        </w:rPr>
        <w:t>One</w:t>
      </w:r>
      <w:proofErr w:type="spellEnd"/>
      <w:r w:rsidRPr="00243910">
        <w:rPr>
          <w:rFonts w:ascii="High Tower Text" w:eastAsia="Arial" w:hAnsi="High Tower Text" w:cs="Arial"/>
          <w:szCs w:val="24"/>
        </w:rPr>
        <w:t xml:space="preserve"> Health, v. 20, 2025.</w:t>
      </w:r>
    </w:p>
    <w:p w14:paraId="21EC0C2A" w14:textId="77777777" w:rsidR="00243910" w:rsidRPr="00243910" w:rsidRDefault="00243910" w:rsidP="00B7427D">
      <w:pPr>
        <w:numPr>
          <w:ilvl w:val="0"/>
          <w:numId w:val="8"/>
        </w:numPr>
        <w:spacing w:before="120" w:after="240"/>
        <w:ind w:left="284" w:right="56" w:hanging="284"/>
        <w:rPr>
          <w:rFonts w:ascii="High Tower Text" w:eastAsia="Arial" w:hAnsi="High Tower Text" w:cs="Arial"/>
          <w:szCs w:val="24"/>
          <w:lang w:val="en-US"/>
        </w:rPr>
      </w:pPr>
      <w:r w:rsidRPr="00243910">
        <w:rPr>
          <w:rFonts w:ascii="High Tower Text" w:eastAsia="Arial" w:hAnsi="High Tower Text" w:cs="Arial"/>
          <w:szCs w:val="24"/>
          <w:lang w:val="en-US"/>
        </w:rPr>
        <w:t>ORGANIZAÇÃO MUNDIAL DA SAÚDE. Multi-country monkeypox outbreak: situation report. Geneva: World Health Organization, 2022.</w:t>
      </w:r>
    </w:p>
    <w:p w14:paraId="779B7B2D" w14:textId="77777777" w:rsidR="00243910" w:rsidRPr="00243910" w:rsidRDefault="00243910" w:rsidP="00B7427D">
      <w:pPr>
        <w:numPr>
          <w:ilvl w:val="0"/>
          <w:numId w:val="8"/>
        </w:numPr>
        <w:spacing w:before="120" w:after="240"/>
        <w:ind w:left="284" w:right="56" w:hanging="284"/>
        <w:rPr>
          <w:rFonts w:ascii="High Tower Text" w:eastAsia="Arial" w:hAnsi="High Tower Text" w:cs="Arial"/>
          <w:szCs w:val="24"/>
        </w:rPr>
      </w:pPr>
      <w:r w:rsidRPr="00243910">
        <w:rPr>
          <w:rFonts w:ascii="High Tower Text" w:eastAsia="Arial" w:hAnsi="High Tower Text" w:cs="Arial"/>
          <w:szCs w:val="24"/>
        </w:rPr>
        <w:t xml:space="preserve">ORGANIZAÇÃO PAN-AMERICANA DA SAÚDE. </w:t>
      </w:r>
      <w:proofErr w:type="spellStart"/>
      <w:r w:rsidRPr="00243910">
        <w:rPr>
          <w:rFonts w:ascii="High Tower Text" w:eastAsia="Arial" w:hAnsi="High Tower Text" w:cs="Arial"/>
          <w:szCs w:val="24"/>
        </w:rPr>
        <w:t>Monkeypox</w:t>
      </w:r>
      <w:proofErr w:type="spellEnd"/>
      <w:r w:rsidRPr="00243910">
        <w:rPr>
          <w:rFonts w:ascii="High Tower Text" w:eastAsia="Arial" w:hAnsi="High Tower Text" w:cs="Arial"/>
          <w:szCs w:val="24"/>
        </w:rPr>
        <w:t>: orientações para vigilância, preparação e resposta nas Américas. Washington, D.C.: OPAS, 2022.</w:t>
      </w:r>
    </w:p>
    <w:p w14:paraId="22D157F9" w14:textId="77777777" w:rsidR="00243910" w:rsidRPr="00243910" w:rsidRDefault="00243910" w:rsidP="00B7427D">
      <w:pPr>
        <w:numPr>
          <w:ilvl w:val="0"/>
          <w:numId w:val="8"/>
        </w:numPr>
        <w:spacing w:before="120" w:after="240"/>
        <w:ind w:left="284" w:right="56" w:hanging="284"/>
        <w:rPr>
          <w:rFonts w:ascii="High Tower Text" w:eastAsia="Arial" w:hAnsi="High Tower Text" w:cs="Arial"/>
          <w:szCs w:val="24"/>
        </w:rPr>
      </w:pPr>
      <w:r w:rsidRPr="00243910">
        <w:rPr>
          <w:rFonts w:ascii="High Tower Text" w:eastAsia="Arial" w:hAnsi="High Tower Text" w:cs="Arial"/>
          <w:szCs w:val="24"/>
          <w:lang w:val="en-US"/>
        </w:rPr>
        <w:lastRenderedPageBreak/>
        <w:t xml:space="preserve">RANAKOTI, N. </w:t>
      </w:r>
      <w:r w:rsidRPr="00243910">
        <w:rPr>
          <w:rFonts w:ascii="High Tower Text" w:eastAsia="Arial" w:hAnsi="High Tower Text" w:cs="Arial"/>
          <w:i/>
          <w:iCs/>
          <w:szCs w:val="24"/>
          <w:lang w:val="en-US"/>
        </w:rPr>
        <w:t>et al</w:t>
      </w:r>
      <w:r w:rsidRPr="00243910">
        <w:rPr>
          <w:rFonts w:ascii="High Tower Text" w:eastAsia="Arial" w:hAnsi="High Tower Text" w:cs="Arial"/>
          <w:szCs w:val="24"/>
          <w:lang w:val="en-US"/>
        </w:rPr>
        <w:t xml:space="preserve">. Monkeypox’s multisectoral challenge: why One Health is the key? </w:t>
      </w:r>
      <w:r w:rsidRPr="00243910">
        <w:rPr>
          <w:rFonts w:ascii="High Tower Text" w:eastAsia="Arial" w:hAnsi="High Tower Text" w:cs="Arial"/>
          <w:szCs w:val="24"/>
        </w:rPr>
        <w:t xml:space="preserve">Indian </w:t>
      </w:r>
      <w:proofErr w:type="spellStart"/>
      <w:r w:rsidRPr="00243910">
        <w:rPr>
          <w:rFonts w:ascii="High Tower Text" w:eastAsia="Arial" w:hAnsi="High Tower Text" w:cs="Arial"/>
          <w:szCs w:val="24"/>
        </w:rPr>
        <w:t>Journal</w:t>
      </w:r>
      <w:proofErr w:type="spellEnd"/>
      <w:r w:rsidRPr="00243910">
        <w:rPr>
          <w:rFonts w:ascii="High Tower Text" w:eastAsia="Arial" w:hAnsi="High Tower Text" w:cs="Arial"/>
          <w:szCs w:val="24"/>
        </w:rPr>
        <w:t xml:space="preserve"> </w:t>
      </w:r>
      <w:proofErr w:type="spellStart"/>
      <w:r w:rsidRPr="00243910">
        <w:rPr>
          <w:rFonts w:ascii="High Tower Text" w:eastAsia="Arial" w:hAnsi="High Tower Text" w:cs="Arial"/>
          <w:szCs w:val="24"/>
        </w:rPr>
        <w:t>of</w:t>
      </w:r>
      <w:proofErr w:type="spellEnd"/>
      <w:r w:rsidRPr="00243910">
        <w:rPr>
          <w:rFonts w:ascii="High Tower Text" w:eastAsia="Arial" w:hAnsi="High Tower Text" w:cs="Arial"/>
          <w:szCs w:val="24"/>
        </w:rPr>
        <w:t xml:space="preserve"> Community Health, 2025.</w:t>
      </w:r>
    </w:p>
    <w:p w14:paraId="5428B137" w14:textId="77777777" w:rsidR="00243910" w:rsidRPr="00243910" w:rsidRDefault="00243910" w:rsidP="00B7427D">
      <w:pPr>
        <w:numPr>
          <w:ilvl w:val="0"/>
          <w:numId w:val="8"/>
        </w:numPr>
        <w:spacing w:before="120" w:after="240"/>
        <w:ind w:left="284" w:right="56" w:hanging="284"/>
        <w:rPr>
          <w:rFonts w:ascii="High Tower Text" w:eastAsia="Arial" w:hAnsi="High Tower Text" w:cs="Arial"/>
          <w:szCs w:val="24"/>
        </w:rPr>
      </w:pPr>
      <w:r w:rsidRPr="00243910">
        <w:rPr>
          <w:rFonts w:ascii="High Tower Text" w:eastAsia="Arial" w:hAnsi="High Tower Text" w:cs="Arial"/>
          <w:szCs w:val="24"/>
          <w:lang w:val="en-US"/>
        </w:rPr>
        <w:t xml:space="preserve">SANTOS, C. M.; SANT’ANNA, Â. Evaluation of the public policy impacts on Monkeypox in Brazil. </w:t>
      </w:r>
      <w:proofErr w:type="spellStart"/>
      <w:r w:rsidRPr="00243910">
        <w:rPr>
          <w:rFonts w:ascii="High Tower Text" w:eastAsia="Arial" w:hAnsi="High Tower Text" w:cs="Arial"/>
          <w:szCs w:val="24"/>
        </w:rPr>
        <w:t>Evaluation</w:t>
      </w:r>
      <w:proofErr w:type="spellEnd"/>
      <w:r w:rsidRPr="00243910">
        <w:rPr>
          <w:rFonts w:ascii="High Tower Text" w:eastAsia="Arial" w:hAnsi="High Tower Text" w:cs="Arial"/>
          <w:szCs w:val="24"/>
        </w:rPr>
        <w:t xml:space="preserve"> </w:t>
      </w:r>
      <w:proofErr w:type="spellStart"/>
      <w:r w:rsidRPr="00243910">
        <w:rPr>
          <w:rFonts w:ascii="High Tower Text" w:eastAsia="Arial" w:hAnsi="High Tower Text" w:cs="Arial"/>
          <w:szCs w:val="24"/>
        </w:rPr>
        <w:t>and</w:t>
      </w:r>
      <w:proofErr w:type="spellEnd"/>
      <w:r w:rsidRPr="00243910">
        <w:rPr>
          <w:rFonts w:ascii="High Tower Text" w:eastAsia="Arial" w:hAnsi="High Tower Text" w:cs="Arial"/>
          <w:szCs w:val="24"/>
        </w:rPr>
        <w:t xml:space="preserve"> </w:t>
      </w:r>
      <w:proofErr w:type="spellStart"/>
      <w:r w:rsidRPr="00243910">
        <w:rPr>
          <w:rFonts w:ascii="High Tower Text" w:eastAsia="Arial" w:hAnsi="High Tower Text" w:cs="Arial"/>
          <w:szCs w:val="24"/>
        </w:rPr>
        <w:t>Program</w:t>
      </w:r>
      <w:proofErr w:type="spellEnd"/>
      <w:r w:rsidRPr="00243910">
        <w:rPr>
          <w:rFonts w:ascii="High Tower Text" w:eastAsia="Arial" w:hAnsi="High Tower Text" w:cs="Arial"/>
          <w:szCs w:val="24"/>
        </w:rPr>
        <w:t xml:space="preserve"> Planning, v. 103, 102414, 2024.</w:t>
      </w:r>
    </w:p>
    <w:p w14:paraId="382368F1" w14:textId="77777777" w:rsidR="00243910" w:rsidRPr="00243910" w:rsidRDefault="00243910" w:rsidP="00B7427D">
      <w:pPr>
        <w:numPr>
          <w:ilvl w:val="0"/>
          <w:numId w:val="8"/>
        </w:numPr>
        <w:spacing w:before="120" w:after="240"/>
        <w:ind w:left="284" w:right="56" w:hanging="284"/>
        <w:rPr>
          <w:rFonts w:ascii="High Tower Text" w:eastAsia="Arial" w:hAnsi="High Tower Text" w:cs="Arial"/>
          <w:szCs w:val="24"/>
        </w:rPr>
      </w:pPr>
      <w:r w:rsidRPr="00243910">
        <w:rPr>
          <w:rFonts w:ascii="High Tower Text" w:eastAsia="Arial" w:hAnsi="High Tower Text" w:cs="Arial"/>
          <w:szCs w:val="24"/>
          <w:lang w:val="en-US"/>
        </w:rPr>
        <w:t xml:space="preserve">TAMBO, E.; AL-NAZAWI, A. Combating the global spread of poverty-related Monkeypox outbreaks and beyond. </w:t>
      </w:r>
      <w:proofErr w:type="spellStart"/>
      <w:r w:rsidRPr="00243910">
        <w:rPr>
          <w:rFonts w:ascii="High Tower Text" w:eastAsia="Arial" w:hAnsi="High Tower Text" w:cs="Arial"/>
          <w:szCs w:val="24"/>
        </w:rPr>
        <w:t>Infectious</w:t>
      </w:r>
      <w:proofErr w:type="spellEnd"/>
      <w:r w:rsidRPr="00243910">
        <w:rPr>
          <w:rFonts w:ascii="High Tower Text" w:eastAsia="Arial" w:hAnsi="High Tower Text" w:cs="Arial"/>
          <w:szCs w:val="24"/>
        </w:rPr>
        <w:t xml:space="preserve"> </w:t>
      </w:r>
      <w:proofErr w:type="spellStart"/>
      <w:r w:rsidRPr="00243910">
        <w:rPr>
          <w:rFonts w:ascii="High Tower Text" w:eastAsia="Arial" w:hAnsi="High Tower Text" w:cs="Arial"/>
          <w:szCs w:val="24"/>
        </w:rPr>
        <w:t>Diseases</w:t>
      </w:r>
      <w:proofErr w:type="spellEnd"/>
      <w:r w:rsidRPr="00243910">
        <w:rPr>
          <w:rFonts w:ascii="High Tower Text" w:eastAsia="Arial" w:hAnsi="High Tower Text" w:cs="Arial"/>
          <w:szCs w:val="24"/>
        </w:rPr>
        <w:t xml:space="preserve"> </w:t>
      </w:r>
      <w:proofErr w:type="spellStart"/>
      <w:r w:rsidRPr="00243910">
        <w:rPr>
          <w:rFonts w:ascii="High Tower Text" w:eastAsia="Arial" w:hAnsi="High Tower Text" w:cs="Arial"/>
          <w:szCs w:val="24"/>
        </w:rPr>
        <w:t>of</w:t>
      </w:r>
      <w:proofErr w:type="spellEnd"/>
      <w:r w:rsidRPr="00243910">
        <w:rPr>
          <w:rFonts w:ascii="High Tower Text" w:eastAsia="Arial" w:hAnsi="High Tower Text" w:cs="Arial"/>
          <w:szCs w:val="24"/>
        </w:rPr>
        <w:t xml:space="preserve"> </w:t>
      </w:r>
      <w:proofErr w:type="spellStart"/>
      <w:r w:rsidRPr="00243910">
        <w:rPr>
          <w:rFonts w:ascii="High Tower Text" w:eastAsia="Arial" w:hAnsi="High Tower Text" w:cs="Arial"/>
          <w:szCs w:val="24"/>
        </w:rPr>
        <w:t>Poverty</w:t>
      </w:r>
      <w:proofErr w:type="spellEnd"/>
      <w:r w:rsidRPr="00243910">
        <w:rPr>
          <w:rFonts w:ascii="High Tower Text" w:eastAsia="Arial" w:hAnsi="High Tower Text" w:cs="Arial"/>
          <w:szCs w:val="24"/>
        </w:rPr>
        <w:t>, v. 11, 2022.</w:t>
      </w:r>
    </w:p>
    <w:p w14:paraId="417DB6D9" w14:textId="77777777" w:rsidR="00243910" w:rsidRPr="00243910" w:rsidRDefault="00243910" w:rsidP="00B7427D">
      <w:pPr>
        <w:numPr>
          <w:ilvl w:val="0"/>
          <w:numId w:val="8"/>
        </w:numPr>
        <w:spacing w:before="120" w:after="240"/>
        <w:ind w:left="284" w:right="56" w:hanging="284"/>
        <w:rPr>
          <w:rFonts w:ascii="High Tower Text" w:eastAsia="Arial" w:hAnsi="High Tower Text" w:cs="Arial"/>
          <w:szCs w:val="24"/>
        </w:rPr>
      </w:pPr>
      <w:r w:rsidRPr="00243910">
        <w:rPr>
          <w:rFonts w:ascii="High Tower Text" w:eastAsia="Arial" w:hAnsi="High Tower Text" w:cs="Arial"/>
          <w:szCs w:val="24"/>
          <w:lang w:val="en-US"/>
        </w:rPr>
        <w:t xml:space="preserve">WORLD HEALTH ORGANIZATION. WHO Director-General declares the multi-country monkeypox outbreak a Public Health Emergency of International Concern. </w:t>
      </w:r>
      <w:r w:rsidRPr="00243910">
        <w:rPr>
          <w:rFonts w:ascii="High Tower Text" w:eastAsia="Arial" w:hAnsi="High Tower Text" w:cs="Arial"/>
          <w:szCs w:val="24"/>
        </w:rPr>
        <w:t>Geneva: WHO, 2022.</w:t>
      </w:r>
    </w:p>
    <w:p w14:paraId="069CBE93" w14:textId="77777777" w:rsidR="003F2DDA" w:rsidRPr="00243910" w:rsidRDefault="003F2DDA" w:rsidP="00B7427D">
      <w:pPr>
        <w:spacing w:before="120" w:after="240"/>
        <w:ind w:left="284" w:right="56" w:hanging="284"/>
        <w:rPr>
          <w:rFonts w:ascii="High Tower Text" w:hAnsi="High Tower Text"/>
        </w:rPr>
      </w:pPr>
    </w:p>
    <w:p w14:paraId="5BA8DBFF" w14:textId="77777777" w:rsidR="00753E10" w:rsidRPr="00243910" w:rsidRDefault="00753E10" w:rsidP="00B7427D">
      <w:pPr>
        <w:spacing w:before="120" w:after="240"/>
        <w:ind w:left="284" w:right="56" w:hanging="284"/>
        <w:rPr>
          <w:rFonts w:ascii="High Tower Text" w:hAnsi="High Tower Text"/>
        </w:rPr>
      </w:pPr>
    </w:p>
    <w:sectPr w:rsidR="00753E10" w:rsidRPr="00243910" w:rsidSect="00AB0180">
      <w:headerReference w:type="default" r:id="rId8"/>
      <w:footerReference w:type="default" r:id="rId9"/>
      <w:headerReference w:type="first" r:id="rId10"/>
      <w:footerReference w:type="first" r:id="rId11"/>
      <w:pgSz w:w="11907" w:h="16840" w:code="9"/>
      <w:pgMar w:top="1309" w:right="1077" w:bottom="898" w:left="1418" w:header="320" w:footer="233"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0A2F5E" w14:textId="77777777" w:rsidR="00950069" w:rsidRDefault="00950069" w:rsidP="00131CEC">
      <w:r>
        <w:separator/>
      </w:r>
    </w:p>
  </w:endnote>
  <w:endnote w:type="continuationSeparator" w:id="0">
    <w:p w14:paraId="60C07CC4" w14:textId="77777777" w:rsidR="00950069" w:rsidRDefault="00950069" w:rsidP="00131C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Condensed">
    <w:altName w:val="Arial"/>
    <w:panose1 w:val="00000000000000000000"/>
    <w:charset w:val="00"/>
    <w:family w:val="auto"/>
    <w:notTrueType/>
    <w:pitch w:val="variable"/>
    <w:sig w:usb0="E00002FF" w:usb1="5000785B"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High Tower Text">
    <w:panose1 w:val="02040502050506030303"/>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FD7C3" w14:textId="28D777D2" w:rsidR="0092262C" w:rsidRDefault="0092262C" w:rsidP="00753E10">
    <w:pPr>
      <w:tabs>
        <w:tab w:val="center" w:pos="4252"/>
        <w:tab w:val="right" w:pos="8504"/>
      </w:tabs>
      <w:rPr>
        <w:rFonts w:ascii="Garamond" w:eastAsia="Garamond" w:hAnsi="Garamond" w:cs="Garamond"/>
        <w:color w:val="808080"/>
        <w:sz w:val="18"/>
        <w:szCs w:val="18"/>
      </w:rPr>
    </w:pPr>
  </w:p>
  <w:p w14:paraId="6D1C8B7A" w14:textId="77777777" w:rsidR="00243910" w:rsidRDefault="00243910" w:rsidP="00753E10">
    <w:pPr>
      <w:tabs>
        <w:tab w:val="center" w:pos="4252"/>
        <w:tab w:val="right" w:pos="8504"/>
      </w:tabs>
      <w:rPr>
        <w:rFonts w:ascii="Garamond" w:eastAsia="Garamond" w:hAnsi="Garamond" w:cs="Garamond"/>
        <w:color w:val="808080"/>
        <w:sz w:val="18"/>
        <w:szCs w:val="18"/>
      </w:rPr>
    </w:pPr>
  </w:p>
  <w:p w14:paraId="7E350FC7" w14:textId="474625C6" w:rsidR="0092262C" w:rsidRPr="000E6734" w:rsidRDefault="0092262C" w:rsidP="0092262C">
    <w:pPr>
      <w:tabs>
        <w:tab w:val="center" w:pos="4252"/>
        <w:tab w:val="right" w:pos="8504"/>
      </w:tabs>
      <w:ind w:left="2" w:hanging="2"/>
      <w:jc w:val="center"/>
      <w:rPr>
        <w:rFonts w:ascii="Garamond" w:eastAsia="Garamond" w:hAnsi="Garamond" w:cs="Garamond"/>
        <w:sz w:val="22"/>
      </w:rPr>
    </w:pPr>
    <w:r w:rsidRPr="000E6734">
      <w:rPr>
        <w:rFonts w:ascii="Garamond" w:eastAsia="Garamond" w:hAnsi="Garamond" w:cs="Garamond"/>
        <w:sz w:val="22"/>
      </w:rPr>
      <w:t>Revista Ibero-Americana de Humanidades, Ciências e Educação. São Paulo, v. 1</w:t>
    </w:r>
    <w:r w:rsidR="00575FCB">
      <w:rPr>
        <w:rFonts w:ascii="Garamond" w:eastAsia="Garamond" w:hAnsi="Garamond" w:cs="Garamond"/>
        <w:sz w:val="22"/>
      </w:rPr>
      <w:t>2</w:t>
    </w:r>
    <w:r w:rsidRPr="000E6734">
      <w:rPr>
        <w:rFonts w:ascii="Garamond" w:eastAsia="Garamond" w:hAnsi="Garamond" w:cs="Garamond"/>
        <w:sz w:val="22"/>
      </w:rPr>
      <w:t xml:space="preserve">, n. </w:t>
    </w:r>
    <w:r w:rsidR="00AF7117">
      <w:rPr>
        <w:rFonts w:ascii="Garamond" w:eastAsia="Garamond" w:hAnsi="Garamond" w:cs="Garamond"/>
        <w:sz w:val="22"/>
      </w:rPr>
      <w:t>3</w:t>
    </w:r>
    <w:r w:rsidRPr="000E6734">
      <w:rPr>
        <w:rFonts w:ascii="Garamond" w:eastAsia="Garamond" w:hAnsi="Garamond" w:cs="Garamond"/>
        <w:sz w:val="22"/>
      </w:rPr>
      <w:t>,</w:t>
    </w:r>
    <w:r w:rsidR="00AF7117">
      <w:rPr>
        <w:rFonts w:ascii="Garamond" w:eastAsia="Garamond" w:hAnsi="Garamond" w:cs="Garamond"/>
        <w:sz w:val="22"/>
      </w:rPr>
      <w:t xml:space="preserve"> mar</w:t>
    </w:r>
    <w:r w:rsidRPr="000E6734">
      <w:rPr>
        <w:rFonts w:ascii="Garamond" w:eastAsia="Garamond" w:hAnsi="Garamond" w:cs="Garamond"/>
        <w:sz w:val="22"/>
      </w:rPr>
      <w:t>. 202</w:t>
    </w:r>
    <w:r w:rsidR="0004020A">
      <w:rPr>
        <w:rFonts w:ascii="Garamond" w:eastAsia="Garamond" w:hAnsi="Garamond" w:cs="Garamond"/>
        <w:sz w:val="22"/>
      </w:rPr>
      <w:t>6</w:t>
    </w:r>
    <w:r w:rsidRPr="000E6734">
      <w:rPr>
        <w:rFonts w:ascii="Garamond" w:eastAsia="Garamond" w:hAnsi="Garamond" w:cs="Garamond"/>
        <w:sz w:val="22"/>
      </w:rPr>
      <w:t>.</w:t>
    </w:r>
  </w:p>
  <w:p w14:paraId="4325FFA6" w14:textId="4B61D631" w:rsidR="00067B0B" w:rsidRPr="000E6734" w:rsidRDefault="0092262C" w:rsidP="0092262C">
    <w:pPr>
      <w:tabs>
        <w:tab w:val="center" w:pos="4252"/>
        <w:tab w:val="right" w:pos="8504"/>
      </w:tabs>
      <w:ind w:left="2" w:hanging="2"/>
      <w:jc w:val="center"/>
      <w:rPr>
        <w:rFonts w:ascii="Garamond" w:hAnsi="Garamond"/>
        <w:sz w:val="22"/>
      </w:rPr>
    </w:pPr>
    <w:r w:rsidRPr="000E6734">
      <w:rPr>
        <w:rFonts w:ascii="Garamond" w:hAnsi="Garamond"/>
        <w:sz w:val="22"/>
      </w:rPr>
      <w:t xml:space="preserve">ISSN: 2675-3375   </w:t>
    </w:r>
  </w:p>
  <w:p w14:paraId="419F39CE" w14:textId="282BD6F8" w:rsidR="00D7400E" w:rsidRPr="000E6734" w:rsidRDefault="00D7400E" w:rsidP="00D548AD">
    <w:pPr>
      <w:tabs>
        <w:tab w:val="center" w:pos="4252"/>
        <w:tab w:val="right" w:pos="8504"/>
      </w:tabs>
      <w:rPr>
        <w:rFonts w:ascii="Garamond" w:eastAsia="Garamond" w:hAnsi="Garamond" w:cs="Garamond"/>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47E09" w14:textId="0CD7103B" w:rsidR="00761D2E" w:rsidRDefault="00761D2E" w:rsidP="00F81E38">
    <w:pPr>
      <w:tabs>
        <w:tab w:val="center" w:pos="4252"/>
        <w:tab w:val="right" w:pos="8504"/>
      </w:tabs>
      <w:jc w:val="center"/>
      <w:rPr>
        <w:rFonts w:ascii="Garamond" w:eastAsia="Garamond" w:hAnsi="Garamond" w:cs="Garamond"/>
        <w:color w:val="808080"/>
        <w:sz w:val="18"/>
        <w:szCs w:val="18"/>
      </w:rPr>
    </w:pPr>
  </w:p>
  <w:p w14:paraId="31964D46" w14:textId="77777777" w:rsidR="00243910" w:rsidRDefault="00243910" w:rsidP="00F81E38">
    <w:pPr>
      <w:tabs>
        <w:tab w:val="center" w:pos="4252"/>
        <w:tab w:val="right" w:pos="8504"/>
      </w:tabs>
      <w:jc w:val="center"/>
      <w:rPr>
        <w:rFonts w:ascii="Garamond" w:eastAsia="Garamond" w:hAnsi="Garamond" w:cs="Garamond"/>
        <w:color w:val="808080"/>
        <w:sz w:val="18"/>
        <w:szCs w:val="18"/>
      </w:rPr>
    </w:pPr>
  </w:p>
  <w:p w14:paraId="3CA75931" w14:textId="747688A8" w:rsidR="00D548AD" w:rsidRPr="000E6734" w:rsidRDefault="00D548AD" w:rsidP="00D548AD">
    <w:pPr>
      <w:tabs>
        <w:tab w:val="center" w:pos="4252"/>
        <w:tab w:val="right" w:pos="8504"/>
      </w:tabs>
      <w:ind w:left="2" w:hanging="2"/>
      <w:jc w:val="center"/>
      <w:rPr>
        <w:rFonts w:ascii="Garamond" w:eastAsia="Garamond" w:hAnsi="Garamond" w:cs="Garamond"/>
        <w:sz w:val="22"/>
      </w:rPr>
    </w:pPr>
    <w:r w:rsidRPr="000E6734">
      <w:rPr>
        <w:rFonts w:ascii="Garamond" w:eastAsia="Garamond" w:hAnsi="Garamond" w:cs="Garamond"/>
        <w:sz w:val="22"/>
      </w:rPr>
      <w:t xml:space="preserve">Revista Ibero-Americana de Humanidades, Ciências e Educação. São Paulo, </w:t>
    </w:r>
    <w:r w:rsidR="00F42DBE" w:rsidRPr="000E6734">
      <w:rPr>
        <w:rFonts w:ascii="Garamond" w:eastAsia="Garamond" w:hAnsi="Garamond" w:cs="Garamond"/>
        <w:sz w:val="22"/>
      </w:rPr>
      <w:t>v. 1</w:t>
    </w:r>
    <w:r w:rsidR="00575FCB">
      <w:rPr>
        <w:rFonts w:ascii="Garamond" w:eastAsia="Garamond" w:hAnsi="Garamond" w:cs="Garamond"/>
        <w:sz w:val="22"/>
      </w:rPr>
      <w:t>2</w:t>
    </w:r>
    <w:r w:rsidR="00F42DBE" w:rsidRPr="000E6734">
      <w:rPr>
        <w:rFonts w:ascii="Garamond" w:eastAsia="Garamond" w:hAnsi="Garamond" w:cs="Garamond"/>
        <w:sz w:val="22"/>
      </w:rPr>
      <w:t>, n.</w:t>
    </w:r>
    <w:r w:rsidR="003D32F8" w:rsidRPr="000E6734">
      <w:rPr>
        <w:rFonts w:ascii="Garamond" w:eastAsia="Garamond" w:hAnsi="Garamond" w:cs="Garamond"/>
        <w:sz w:val="22"/>
      </w:rPr>
      <w:t xml:space="preserve"> </w:t>
    </w:r>
    <w:r w:rsidR="00AF7117">
      <w:rPr>
        <w:rFonts w:ascii="Garamond" w:eastAsia="Garamond" w:hAnsi="Garamond" w:cs="Garamond"/>
        <w:sz w:val="22"/>
      </w:rPr>
      <w:t>3</w:t>
    </w:r>
    <w:r w:rsidR="00F42DBE" w:rsidRPr="000E6734">
      <w:rPr>
        <w:rFonts w:ascii="Garamond" w:eastAsia="Garamond" w:hAnsi="Garamond" w:cs="Garamond"/>
        <w:sz w:val="22"/>
      </w:rPr>
      <w:t>,</w:t>
    </w:r>
    <w:r w:rsidR="00AF7117">
      <w:rPr>
        <w:rFonts w:ascii="Garamond" w:eastAsia="Garamond" w:hAnsi="Garamond" w:cs="Garamond"/>
        <w:sz w:val="22"/>
      </w:rPr>
      <w:t xml:space="preserve"> mar</w:t>
    </w:r>
    <w:r w:rsidR="00F42DBE" w:rsidRPr="000E6734">
      <w:rPr>
        <w:rFonts w:ascii="Garamond" w:eastAsia="Garamond" w:hAnsi="Garamond" w:cs="Garamond"/>
        <w:sz w:val="22"/>
      </w:rPr>
      <w:t>. 202</w:t>
    </w:r>
    <w:r w:rsidR="0004020A">
      <w:rPr>
        <w:rFonts w:ascii="Garamond" w:eastAsia="Garamond" w:hAnsi="Garamond" w:cs="Garamond"/>
        <w:sz w:val="22"/>
      </w:rPr>
      <w:t>6</w:t>
    </w:r>
    <w:r w:rsidR="00F42DBE" w:rsidRPr="000E6734">
      <w:rPr>
        <w:rFonts w:ascii="Garamond" w:eastAsia="Garamond" w:hAnsi="Garamond" w:cs="Garamond"/>
        <w:sz w:val="22"/>
      </w:rPr>
      <w:t>.</w:t>
    </w:r>
  </w:p>
  <w:p w14:paraId="7B157D58" w14:textId="4C5A2655" w:rsidR="00D548AD" w:rsidRPr="000E6734" w:rsidRDefault="00D548AD" w:rsidP="00D548AD">
    <w:pPr>
      <w:tabs>
        <w:tab w:val="center" w:pos="4252"/>
        <w:tab w:val="right" w:pos="8504"/>
      </w:tabs>
      <w:ind w:left="2" w:hanging="2"/>
      <w:jc w:val="center"/>
      <w:rPr>
        <w:rFonts w:ascii="Garamond" w:hAnsi="Garamond"/>
        <w:sz w:val="22"/>
      </w:rPr>
    </w:pPr>
    <w:r w:rsidRPr="000E6734">
      <w:rPr>
        <w:rFonts w:ascii="Garamond" w:hAnsi="Garamond"/>
        <w:sz w:val="22"/>
      </w:rPr>
      <w:t>ISSN: 2675</w:t>
    </w:r>
    <w:r w:rsidR="00161E48" w:rsidRPr="000E6734">
      <w:rPr>
        <w:rFonts w:ascii="Garamond" w:hAnsi="Garamond"/>
        <w:sz w:val="22"/>
      </w:rPr>
      <w:t>-</w:t>
    </w:r>
    <w:r w:rsidRPr="000E6734">
      <w:rPr>
        <w:rFonts w:ascii="Garamond" w:hAnsi="Garamond"/>
        <w:sz w:val="22"/>
      </w:rPr>
      <w:t>3375</w:t>
    </w:r>
    <w:r w:rsidR="00161E48" w:rsidRPr="000E6734">
      <w:rPr>
        <w:rFonts w:ascii="Garamond" w:hAnsi="Garamond"/>
        <w:sz w:val="22"/>
      </w:rPr>
      <w:t xml:space="preserve">   </w:t>
    </w:r>
  </w:p>
  <w:p w14:paraId="1AD1DA27" w14:textId="77777777" w:rsidR="00F81E38" w:rsidRPr="003A1113" w:rsidRDefault="00F81E38">
    <w:pPr>
      <w:pStyle w:val="Rodap"/>
      <w:rPr>
        <w:rFonts w:ascii="Garamond" w:hAnsi="Garamond"/>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0CB3D9" w14:textId="77777777" w:rsidR="00950069" w:rsidRDefault="00950069" w:rsidP="00131CEC">
      <w:r>
        <w:separator/>
      </w:r>
    </w:p>
  </w:footnote>
  <w:footnote w:type="continuationSeparator" w:id="0">
    <w:p w14:paraId="21642D33" w14:textId="77777777" w:rsidR="00950069" w:rsidRDefault="00950069" w:rsidP="00131CEC">
      <w:r>
        <w:continuationSeparator/>
      </w:r>
    </w:p>
  </w:footnote>
  <w:footnote w:id="1">
    <w:p w14:paraId="0EDC7FBF" w14:textId="134BC220" w:rsidR="00243910" w:rsidRPr="00243910" w:rsidRDefault="00243910" w:rsidP="00243910">
      <w:pPr>
        <w:widowControl w:val="0"/>
        <w:pBdr>
          <w:top w:val="nil"/>
          <w:left w:val="nil"/>
          <w:bottom w:val="nil"/>
          <w:right w:val="nil"/>
          <w:between w:val="nil"/>
        </w:pBdr>
        <w:ind w:hanging="2"/>
        <w:rPr>
          <w:rFonts w:ascii="High Tower Text" w:hAnsi="High Tower Text"/>
          <w:color w:val="000000"/>
          <w:sz w:val="18"/>
          <w:szCs w:val="18"/>
        </w:rPr>
      </w:pPr>
      <w:r w:rsidRPr="00243910">
        <w:rPr>
          <w:rFonts w:ascii="High Tower Text" w:hAnsi="High Tower Text"/>
          <w:sz w:val="18"/>
          <w:szCs w:val="18"/>
          <w:vertAlign w:val="superscript"/>
        </w:rPr>
        <w:footnoteRef/>
      </w:r>
      <w:r w:rsidRPr="00243910">
        <w:rPr>
          <w:rFonts w:ascii="High Tower Text" w:eastAsia="Calibri" w:hAnsi="High Tower Text" w:cs="Calibri"/>
          <w:color w:val="000000"/>
          <w:sz w:val="18"/>
          <w:szCs w:val="18"/>
        </w:rPr>
        <w:t>D</w:t>
      </w:r>
      <w:r w:rsidRPr="00243910">
        <w:rPr>
          <w:rFonts w:ascii="High Tower Text" w:hAnsi="High Tower Text"/>
          <w:sz w:val="18"/>
          <w:szCs w:val="18"/>
        </w:rPr>
        <w:t>outorando em Saúde Coletiva pela Universidade Estadual do Ceará - UECE, Fortaleza CE.</w:t>
      </w:r>
      <w:r w:rsidRPr="00243910">
        <w:rPr>
          <w:rFonts w:ascii="High Tower Text" w:eastAsia="Calibri" w:hAnsi="High Tower Text" w:cs="Calibri"/>
          <w:color w:val="000000"/>
          <w:sz w:val="18"/>
          <w:szCs w:val="18"/>
        </w:rPr>
        <w:t xml:space="preserve"> </w:t>
      </w:r>
    </w:p>
  </w:footnote>
  <w:footnote w:id="2">
    <w:p w14:paraId="3C1D7EDB" w14:textId="3BDC739A" w:rsidR="00243910" w:rsidRPr="00243910" w:rsidRDefault="00243910" w:rsidP="00243910">
      <w:pPr>
        <w:widowControl w:val="0"/>
        <w:pBdr>
          <w:top w:val="nil"/>
          <w:left w:val="nil"/>
          <w:bottom w:val="nil"/>
          <w:right w:val="nil"/>
          <w:between w:val="nil"/>
        </w:pBdr>
        <w:ind w:hanging="2"/>
        <w:rPr>
          <w:rFonts w:ascii="High Tower Text" w:eastAsia="Arial" w:hAnsi="High Tower Text" w:cs="Arial"/>
          <w:color w:val="000000"/>
          <w:sz w:val="18"/>
          <w:szCs w:val="18"/>
        </w:rPr>
      </w:pPr>
      <w:r w:rsidRPr="00243910">
        <w:rPr>
          <w:rFonts w:ascii="High Tower Text" w:hAnsi="High Tower Text"/>
          <w:sz w:val="18"/>
          <w:szCs w:val="18"/>
          <w:vertAlign w:val="superscript"/>
        </w:rPr>
        <w:footnoteRef/>
      </w:r>
      <w:r w:rsidRPr="00243910">
        <w:rPr>
          <w:rFonts w:ascii="High Tower Text" w:hAnsi="High Tower Text"/>
          <w:sz w:val="18"/>
          <w:szCs w:val="18"/>
        </w:rPr>
        <w:t xml:space="preserve">Graduando em Fisioterapia pelo Centro Universitário </w:t>
      </w:r>
      <w:proofErr w:type="spellStart"/>
      <w:r w:rsidRPr="00243910">
        <w:rPr>
          <w:rFonts w:ascii="High Tower Text" w:hAnsi="High Tower Text"/>
          <w:sz w:val="18"/>
          <w:szCs w:val="18"/>
        </w:rPr>
        <w:t>Faema</w:t>
      </w:r>
      <w:proofErr w:type="spellEnd"/>
      <w:r w:rsidRPr="00243910">
        <w:rPr>
          <w:rFonts w:ascii="High Tower Text" w:hAnsi="High Tower Text"/>
          <w:sz w:val="18"/>
          <w:szCs w:val="18"/>
        </w:rPr>
        <w:t xml:space="preserve"> - UNIFAEMA, Ariquemes RO. </w:t>
      </w:r>
    </w:p>
  </w:footnote>
  <w:footnote w:id="3">
    <w:p w14:paraId="52986170" w14:textId="08A90148" w:rsidR="00243910" w:rsidRPr="00243910" w:rsidRDefault="00243910" w:rsidP="00243910">
      <w:pPr>
        <w:widowControl w:val="0"/>
        <w:pBdr>
          <w:top w:val="nil"/>
          <w:left w:val="nil"/>
          <w:bottom w:val="nil"/>
          <w:right w:val="nil"/>
          <w:between w:val="nil"/>
        </w:pBdr>
        <w:ind w:hanging="2"/>
        <w:rPr>
          <w:rFonts w:ascii="High Tower Text" w:hAnsi="High Tower Text"/>
          <w:color w:val="FF0000"/>
          <w:sz w:val="18"/>
          <w:szCs w:val="18"/>
        </w:rPr>
      </w:pPr>
      <w:r w:rsidRPr="00243910">
        <w:rPr>
          <w:rFonts w:ascii="High Tower Text" w:hAnsi="High Tower Text"/>
          <w:sz w:val="18"/>
          <w:szCs w:val="18"/>
          <w:vertAlign w:val="superscript"/>
        </w:rPr>
        <w:footnoteRef/>
      </w:r>
      <w:r w:rsidRPr="00243910">
        <w:rPr>
          <w:rFonts w:ascii="High Tower Text" w:hAnsi="High Tower Text"/>
          <w:sz w:val="18"/>
          <w:szCs w:val="18"/>
        </w:rPr>
        <w:t xml:space="preserve">Graduando em Medicina Veterinária pela Universidade Estadual do Maranhão - UEMA, São Luís MA. </w:t>
      </w:r>
    </w:p>
  </w:footnote>
  <w:footnote w:id="4">
    <w:p w14:paraId="3ADEE346" w14:textId="67D39A89" w:rsidR="00243910" w:rsidRPr="00243910" w:rsidRDefault="00243910" w:rsidP="00243910">
      <w:pPr>
        <w:widowControl w:val="0"/>
        <w:ind w:hanging="2"/>
        <w:rPr>
          <w:rFonts w:ascii="High Tower Text" w:hAnsi="High Tower Text"/>
          <w:sz w:val="18"/>
          <w:szCs w:val="18"/>
        </w:rPr>
      </w:pPr>
      <w:r w:rsidRPr="00243910">
        <w:rPr>
          <w:rFonts w:ascii="High Tower Text" w:hAnsi="High Tower Text"/>
          <w:sz w:val="18"/>
          <w:szCs w:val="18"/>
          <w:vertAlign w:val="superscript"/>
        </w:rPr>
        <w:footnoteRef/>
      </w:r>
      <w:r w:rsidRPr="00243910">
        <w:rPr>
          <w:rFonts w:ascii="High Tower Text" w:hAnsi="High Tower Text"/>
          <w:sz w:val="18"/>
          <w:szCs w:val="18"/>
        </w:rPr>
        <w:t xml:space="preserve">Mestre em Sistema e Computação pela Universidade Federal da Paraíba - UFPB, João Pessoa PB. </w:t>
      </w:r>
    </w:p>
  </w:footnote>
  <w:footnote w:id="5">
    <w:p w14:paraId="13C1C940" w14:textId="56A2DBAE" w:rsidR="00243910" w:rsidRPr="00243910" w:rsidRDefault="00243910" w:rsidP="00243910">
      <w:pPr>
        <w:widowControl w:val="0"/>
        <w:ind w:hanging="2"/>
        <w:rPr>
          <w:rFonts w:ascii="High Tower Text" w:eastAsia="Arial" w:hAnsi="High Tower Text" w:cs="Arial"/>
          <w:color w:val="FF0000"/>
          <w:sz w:val="18"/>
          <w:szCs w:val="18"/>
        </w:rPr>
      </w:pPr>
      <w:r w:rsidRPr="00243910">
        <w:rPr>
          <w:rFonts w:ascii="High Tower Text" w:hAnsi="High Tower Text"/>
          <w:sz w:val="18"/>
          <w:szCs w:val="18"/>
          <w:vertAlign w:val="superscript"/>
        </w:rPr>
        <w:footnoteRef/>
      </w:r>
      <w:r w:rsidRPr="00243910">
        <w:rPr>
          <w:rFonts w:ascii="High Tower Text" w:hAnsi="High Tower Text"/>
          <w:sz w:val="18"/>
          <w:szCs w:val="18"/>
        </w:rPr>
        <w:t xml:space="preserve">Graduanda em Enfermagem pelo Centro Universitário Maurício de Nassau - UNINASSAU, Campina Grande PB. </w:t>
      </w:r>
    </w:p>
  </w:footnote>
  <w:footnote w:id="6">
    <w:p w14:paraId="5055BB60" w14:textId="40D288B7" w:rsidR="00243910" w:rsidRDefault="00243910" w:rsidP="00243910">
      <w:pPr>
        <w:widowControl w:val="0"/>
        <w:ind w:hanging="2"/>
        <w:rPr>
          <w:rFonts w:ascii="High Tower Text" w:hAnsi="High Tower Text"/>
          <w:sz w:val="18"/>
          <w:szCs w:val="18"/>
        </w:rPr>
      </w:pPr>
      <w:r w:rsidRPr="00243910">
        <w:rPr>
          <w:rFonts w:ascii="High Tower Text" w:hAnsi="High Tower Text"/>
          <w:sz w:val="18"/>
          <w:szCs w:val="18"/>
          <w:vertAlign w:val="superscript"/>
        </w:rPr>
        <w:footnoteRef/>
      </w:r>
      <w:r w:rsidRPr="00243910">
        <w:rPr>
          <w:rFonts w:ascii="High Tower Text" w:hAnsi="High Tower Text"/>
          <w:sz w:val="18"/>
          <w:szCs w:val="18"/>
        </w:rPr>
        <w:t xml:space="preserve">Pós-Graduada em Auditoria em Enfermagem pela Faculdade Anhanguera - ANHANGUERA, Pelotas RS. </w:t>
      </w:r>
    </w:p>
    <w:p w14:paraId="5CAA843A" w14:textId="77777777" w:rsidR="00194809" w:rsidRPr="00243910" w:rsidRDefault="00194809" w:rsidP="00243910">
      <w:pPr>
        <w:widowControl w:val="0"/>
        <w:ind w:hanging="2"/>
        <w:rPr>
          <w:rFonts w:ascii="High Tower Text" w:eastAsia="Arial" w:hAnsi="High Tower Text" w:cs="Arial"/>
          <w:color w:val="FF0000"/>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EE2FC" w14:textId="6F1CD247" w:rsidR="002A7090" w:rsidRDefault="00F81E38" w:rsidP="00F81E38">
    <w:pPr>
      <w:pStyle w:val="current"/>
      <w:shd w:val="clear" w:color="auto" w:fill="FFFFFF"/>
      <w:tabs>
        <w:tab w:val="left" w:pos="338"/>
        <w:tab w:val="center" w:pos="4534"/>
      </w:tabs>
      <w:spacing w:before="0" w:beforeAutospacing="0" w:after="0" w:afterAutospacing="0"/>
      <w:jc w:val="center"/>
      <w:rPr>
        <w:rFonts w:ascii="Garamond" w:hAnsi="Garamond"/>
        <w:sz w:val="20"/>
        <w:szCs w:val="20"/>
      </w:rPr>
    </w:pPr>
    <w:r>
      <w:rPr>
        <w:noProof/>
      </w:rPr>
      <mc:AlternateContent>
        <mc:Choice Requires="wps">
          <w:drawing>
            <wp:anchor distT="0" distB="0" distL="114300" distR="114300" simplePos="0" relativeHeight="251659264" behindDoc="0" locked="0" layoutInCell="0" allowOverlap="1" wp14:anchorId="7F155915" wp14:editId="710786BE">
              <wp:simplePos x="0" y="0"/>
              <wp:positionH relativeFrom="page">
                <wp:posOffset>6840220</wp:posOffset>
              </wp:positionH>
              <wp:positionV relativeFrom="page">
                <wp:posOffset>5417820</wp:posOffset>
              </wp:positionV>
              <wp:extent cx="720090" cy="329565"/>
              <wp:effectExtent l="0" t="0" r="0" b="0"/>
              <wp:wrapNone/>
              <wp:docPr id="838085579" name="Retâ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20090" cy="329565"/>
                      </a:xfrm>
                      <a:prstGeom prst="rect">
                        <a:avLst/>
                      </a:prstGeom>
                      <a:solidFill>
                        <a:srgbClr val="FFFFFF"/>
                      </a:solidFill>
                      <a:ln>
                        <a:noFill/>
                      </a:ln>
                    </wps:spPr>
                    <wps:txbx>
                      <w:txbxContent>
                        <w:p w14:paraId="5D79D08C" w14:textId="77777777" w:rsidR="00F81E38" w:rsidRDefault="00F81E38" w:rsidP="00F81E38">
                          <w:pPr>
                            <w:pBdr>
                              <w:bottom w:val="single" w:sz="4" w:space="1" w:color="auto"/>
                            </w:pBdr>
                            <w:ind w:hanging="2"/>
                            <w:jc w:val="center"/>
                          </w:pPr>
                          <w:r>
                            <w:fldChar w:fldCharType="begin"/>
                          </w:r>
                          <w:r>
                            <w:instrText>PAGE   \* MERGEFORMAT</w:instrText>
                          </w:r>
                          <w:r>
                            <w:fldChar w:fldCharType="separate"/>
                          </w:r>
                          <w:r>
                            <w:rPr>
                              <w:noProof/>
                            </w:rPr>
                            <w:t>1</w:t>
                          </w:r>
                          <w:r>
                            <w:fldChar w:fldCharType="end"/>
                          </w:r>
                        </w:p>
                      </w:txbxContent>
                    </wps:txbx>
                    <wps:bodyPr rot="0" vert="horz" wrap="square" lIns="91440" tIns="45720" rIns="91440" bIns="45720" anchor="t" anchorCtr="0" upright="1">
                      <a:noAutofit/>
                    </wps:bodyPr>
                  </wps:wsp>
                </a:graphicData>
              </a:graphic>
              <wp14:sizeRelH relativeFrom="rightMargin">
                <wp14:pctWidth>0</wp14:pctWidth>
              </wp14:sizeRelH>
              <wp14:sizeRelV relativeFrom="page">
                <wp14:pctHeight>0</wp14:pctHeight>
              </wp14:sizeRelV>
            </wp:anchor>
          </w:drawing>
        </mc:Choice>
        <mc:Fallback>
          <w:pict>
            <v:rect w14:anchorId="7F155915" id="Retângulo 1" o:spid="_x0000_s1026" style="position:absolute;left:0;text-align:left;margin-left:538.6pt;margin-top:426.6pt;width:56.7pt;height:25.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" o:allowincell="f" stroked="f">
              <v:textbox>
                <w:txbxContent>
                  <w:p w14:paraId="5D79D08C" w14:textId="77777777" w:rsidR="00F81E38" w:rsidRDefault="00F81E38" w:rsidP="00F81E38">
                    <w:pPr>
                      <w:pBdr>
                        <w:bottom w:val="single" w:sz="4" w:space="1" w:color="auto"/>
                      </w:pBdr>
                      <w:ind w:hanging="2"/>
                      <w:jc w:val="center"/>
                    </w:pPr>
                    <w:r>
                      <w:fldChar w:fldCharType="begin"/>
                    </w:r>
                    <w:r>
                      <w:instrText>PAGE   \* MERGEFORMAT</w:instrText>
                    </w:r>
                    <w:r>
                      <w:fldChar w:fldCharType="separate"/>
                    </w:r>
                    <w:r>
                      <w:rPr>
                        <w:noProof/>
                      </w:rPr>
                      <w:t>1</w:t>
                    </w:r>
                    <w:r>
                      <w:fldChar w:fldCharType="end"/>
                    </w:r>
                  </w:p>
                </w:txbxContent>
              </v:textbox>
              <w10:wrap anchorx="page" anchory="page"/>
            </v:rect>
          </w:pict>
        </mc:Fallback>
      </mc:AlternateContent>
    </w:r>
    <w:r w:rsidRPr="003B4E10">
      <w:rPr>
        <w:noProof/>
      </w:rPr>
      <w:drawing>
        <wp:inline distT="0" distB="0" distL="0" distR="0" wp14:anchorId="48C91AA3" wp14:editId="660FC38B">
          <wp:extent cx="601345" cy="673735"/>
          <wp:effectExtent l="0" t="0" r="0" b="0"/>
          <wp:docPr id="1" name="Imagem 2" descr="Uma imagem contendo Forma&#10;&#10;Descrição gerada automa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m 5" descr="Uma imagem contendo Forma&#10;&#10;Descrição gerada automaticament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1345" cy="673735"/>
                  </a:xfrm>
                  <a:prstGeom prst="rect">
                    <a:avLst/>
                  </a:prstGeom>
                  <a:noFill/>
                  <a:ln>
                    <a:noFill/>
                  </a:ln>
                </pic:spPr>
              </pic:pic>
            </a:graphicData>
          </a:graphic>
        </wp:inline>
      </w:drawing>
    </w:r>
    <w:r w:rsidR="00D548AD" w:rsidRPr="00D548AD">
      <w:rPr>
        <w:rFonts w:ascii="Garamond" w:hAnsi="Garamond"/>
        <w:color w:val="808080"/>
        <w:sz w:val="20"/>
        <w:szCs w:val="20"/>
      </w:rPr>
      <w:t xml:space="preserve"> </w:t>
    </w:r>
    <w:r w:rsidR="00D548AD">
      <w:rPr>
        <w:rFonts w:ascii="Garamond" w:hAnsi="Garamond"/>
        <w:color w:val="808080"/>
        <w:sz w:val="20"/>
        <w:szCs w:val="20"/>
      </w:rPr>
      <w:t>Revista Ibero-Americana de Humanidades, Ciências e Educação — REASE</w:t>
    </w:r>
    <w:r w:rsidR="00D548AD">
      <w:rPr>
        <w:rFonts w:ascii="Garamond" w:hAnsi="Garamond"/>
        <w:sz w:val="20"/>
        <w:szCs w:val="20"/>
      </w:rPr>
      <w:t xml:space="preserve">    </w:t>
    </w:r>
    <w:r>
      <w:rPr>
        <w:rFonts w:ascii="Garamond" w:hAnsi="Garamond"/>
        <w:sz w:val="20"/>
        <w:szCs w:val="20"/>
      </w:rPr>
      <w:t xml:space="preserve"> </w:t>
    </w:r>
    <w:r w:rsidRPr="00762CA2">
      <w:rPr>
        <w:rFonts w:ascii="High Tower Text" w:hAnsi="High Tower Text"/>
        <w:noProof/>
        <w:color w:val="231F20"/>
      </w:rPr>
      <w:drawing>
        <wp:inline distT="0" distB="0" distL="0" distR="0" wp14:anchorId="05CD8DA8" wp14:editId="39C0178F">
          <wp:extent cx="625475" cy="228600"/>
          <wp:effectExtent l="0" t="0" r="0" b="0"/>
          <wp:docPr id="2" name="Imagem 3" descr="Ícone&#10;&#10;Descrição gerada automa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m 5" descr="Ícone&#10;&#10;Descrição gerada automaticamente"/>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25475" cy="228600"/>
                  </a:xfrm>
                  <a:prstGeom prst="rect">
                    <a:avLst/>
                  </a:prstGeom>
                  <a:noFill/>
                  <a:ln>
                    <a:noFill/>
                  </a:ln>
                </pic:spPr>
              </pic:pic>
            </a:graphicData>
          </a:graphic>
        </wp:inline>
      </w:drawing>
    </w:r>
  </w:p>
  <w:p w14:paraId="1859DAAD" w14:textId="4A26D8B1" w:rsidR="00F81E38" w:rsidRDefault="00F81E38" w:rsidP="00F81E38">
    <w:pPr>
      <w:pStyle w:val="current"/>
      <w:shd w:val="clear" w:color="auto" w:fill="FFFFFF"/>
      <w:tabs>
        <w:tab w:val="left" w:pos="338"/>
        <w:tab w:val="center" w:pos="4534"/>
      </w:tabs>
      <w:spacing w:before="0" w:beforeAutospacing="0" w:after="0" w:afterAutospacing="0"/>
      <w:jc w:val="center"/>
      <w:rPr>
        <w:rFonts w:ascii="Garamond" w:hAnsi="Garamond"/>
        <w:sz w:val="20"/>
        <w:szCs w:val="20"/>
      </w:rPr>
    </w:pPr>
  </w:p>
  <w:p w14:paraId="4F53E0D5" w14:textId="77777777" w:rsidR="00F81E38" w:rsidRPr="00F81E38" w:rsidRDefault="00F81E38" w:rsidP="00F81E38">
    <w:pPr>
      <w:pStyle w:val="current"/>
      <w:shd w:val="clear" w:color="auto" w:fill="FFFFFF"/>
      <w:tabs>
        <w:tab w:val="left" w:pos="338"/>
        <w:tab w:val="center" w:pos="4534"/>
      </w:tabs>
      <w:spacing w:before="0" w:beforeAutospacing="0" w:after="0" w:afterAutospacing="0"/>
      <w:jc w:val="center"/>
      <w:rPr>
        <w:rFonts w:ascii="Garamond" w:hAnsi="Garamond"/>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EC1C4" w14:textId="555E9AC7" w:rsidR="00F42DBE" w:rsidRPr="00E77461" w:rsidRDefault="00F81E38" w:rsidP="00F81E38">
    <w:pPr>
      <w:pStyle w:val="current"/>
      <w:shd w:val="clear" w:color="auto" w:fill="FFFFFF"/>
      <w:tabs>
        <w:tab w:val="left" w:pos="338"/>
        <w:tab w:val="center" w:pos="4534"/>
      </w:tabs>
      <w:spacing w:before="0" w:beforeAutospacing="0" w:after="0" w:afterAutospacing="0"/>
      <w:jc w:val="center"/>
      <w:rPr>
        <w:rFonts w:ascii="Garamond" w:hAnsi="Garamond"/>
        <w:sz w:val="20"/>
        <w:szCs w:val="20"/>
      </w:rPr>
    </w:pPr>
    <w:r w:rsidRPr="00E77461">
      <w:rPr>
        <w:noProof/>
      </w:rPr>
      <mc:AlternateContent>
        <mc:Choice Requires="wps">
          <w:drawing>
            <wp:anchor distT="0" distB="0" distL="114300" distR="114300" simplePos="0" relativeHeight="251661312" behindDoc="0" locked="0" layoutInCell="0" allowOverlap="1" wp14:anchorId="1108D28C" wp14:editId="1A81FC62">
              <wp:simplePos x="0" y="0"/>
              <wp:positionH relativeFrom="page">
                <wp:posOffset>6840220</wp:posOffset>
              </wp:positionH>
              <wp:positionV relativeFrom="page">
                <wp:posOffset>5417820</wp:posOffset>
              </wp:positionV>
              <wp:extent cx="720090" cy="329565"/>
              <wp:effectExtent l="0" t="0" r="0" b="0"/>
              <wp:wrapNone/>
              <wp:docPr id="418495065" name="Retâ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20090" cy="329565"/>
                      </a:xfrm>
                      <a:prstGeom prst="rect">
                        <a:avLst/>
                      </a:prstGeom>
                      <a:solidFill>
                        <a:srgbClr val="FFFFFF"/>
                      </a:solidFill>
                      <a:ln>
                        <a:noFill/>
                      </a:ln>
                    </wps:spPr>
                    <wps:txbx>
                      <w:txbxContent>
                        <w:p w14:paraId="75609723" w14:textId="77777777" w:rsidR="00F81E38" w:rsidRDefault="00F81E38" w:rsidP="00F81E38">
                          <w:pPr>
                            <w:pBdr>
                              <w:bottom w:val="single" w:sz="4" w:space="1" w:color="auto"/>
                            </w:pBdr>
                            <w:ind w:hanging="2"/>
                            <w:jc w:val="center"/>
                          </w:pPr>
                          <w:r>
                            <w:fldChar w:fldCharType="begin"/>
                          </w:r>
                          <w:r>
                            <w:instrText>PAGE   \* MERGEFORMAT</w:instrText>
                          </w:r>
                          <w:r>
                            <w:fldChar w:fldCharType="separate"/>
                          </w:r>
                          <w:r>
                            <w:rPr>
                              <w:noProof/>
                            </w:rPr>
                            <w:t>1</w:t>
                          </w:r>
                          <w:r>
                            <w:fldChar w:fldCharType="end"/>
                          </w:r>
                        </w:p>
                      </w:txbxContent>
                    </wps:txbx>
                    <wps:bodyPr rot="0" vert="horz" wrap="square" lIns="91440" tIns="45720" rIns="91440" bIns="45720" anchor="t" anchorCtr="0" upright="1">
                      <a:noAutofit/>
                    </wps:bodyPr>
                  </wps:wsp>
                </a:graphicData>
              </a:graphic>
              <wp14:sizeRelH relativeFrom="rightMargin">
                <wp14:pctWidth>0</wp14:pctWidth>
              </wp14:sizeRelH>
              <wp14:sizeRelV relativeFrom="page">
                <wp14:pctHeight>0</wp14:pctHeight>
              </wp14:sizeRelV>
            </wp:anchor>
          </w:drawing>
        </mc:Choice>
        <mc:Fallback>
          <w:pict>
            <v:rect w14:anchorId="1108D28C" id="Retângulo 4" o:spid="_x0000_s1027" style="position:absolute;left:0;text-align:left;margin-left:538.6pt;margin-top:426.6pt;width:56.7pt;height:25.9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" o:allowincell="f" stroked="f">
              <v:textbox>
                <w:txbxContent>
                  <w:p w14:paraId="75609723" w14:textId="77777777" w:rsidR="00F81E38" w:rsidRDefault="00F81E38" w:rsidP="00F81E38">
                    <w:pPr>
                      <w:pBdr>
                        <w:bottom w:val="single" w:sz="4" w:space="1" w:color="auto"/>
                      </w:pBdr>
                      <w:ind w:hanging="2"/>
                      <w:jc w:val="center"/>
                    </w:pPr>
                    <w:r>
                      <w:fldChar w:fldCharType="begin"/>
                    </w:r>
                    <w:r>
                      <w:instrText>PAGE   \* MERGEFORMAT</w:instrText>
                    </w:r>
                    <w:r>
                      <w:fldChar w:fldCharType="separate"/>
                    </w:r>
                    <w:r>
                      <w:rPr>
                        <w:noProof/>
                      </w:rPr>
                      <w:t>1</w:t>
                    </w:r>
                    <w:r>
                      <w:fldChar w:fldCharType="end"/>
                    </w:r>
                  </w:p>
                </w:txbxContent>
              </v:textbox>
              <w10:wrap anchorx="page" anchory="page"/>
            </v:rect>
          </w:pict>
        </mc:Fallback>
      </mc:AlternateContent>
    </w:r>
    <w:r w:rsidRPr="00E77461">
      <w:rPr>
        <w:noProof/>
      </w:rPr>
      <w:drawing>
        <wp:inline distT="0" distB="0" distL="0" distR="0" wp14:anchorId="07BC05EF" wp14:editId="533C5C7E">
          <wp:extent cx="601345" cy="673735"/>
          <wp:effectExtent l="0" t="0" r="0" b="0"/>
          <wp:docPr id="384268187" name="Imagem 5" descr="Uma imagem contendo Forma&#10;&#10;Descrição gerada automa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m 5" descr="Uma imagem contendo Forma&#10;&#10;Descrição gerada automaticament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1345" cy="673735"/>
                  </a:xfrm>
                  <a:prstGeom prst="rect">
                    <a:avLst/>
                  </a:prstGeom>
                  <a:noFill/>
                  <a:ln>
                    <a:noFill/>
                  </a:ln>
                </pic:spPr>
              </pic:pic>
            </a:graphicData>
          </a:graphic>
        </wp:inline>
      </w:drawing>
    </w:r>
    <w:r w:rsidR="00D548AD" w:rsidRPr="00E77461">
      <w:rPr>
        <w:rFonts w:ascii="Garamond" w:hAnsi="Garamond"/>
        <w:sz w:val="20"/>
        <w:szCs w:val="20"/>
      </w:rPr>
      <w:t xml:space="preserve"> Revista Ibero-Americana de Humanidades, Ciências e Educação — REASE     </w:t>
    </w:r>
    <w:r w:rsidRPr="00E77461">
      <w:rPr>
        <w:rFonts w:ascii="Garamond" w:hAnsi="Garamond"/>
        <w:sz w:val="20"/>
        <w:szCs w:val="20"/>
      </w:rPr>
      <w:t xml:space="preserve"> </w:t>
    </w:r>
    <w:r w:rsidRPr="00E77461">
      <w:rPr>
        <w:rFonts w:ascii="High Tower Text" w:hAnsi="High Tower Text"/>
        <w:noProof/>
      </w:rPr>
      <w:drawing>
        <wp:inline distT="0" distB="0" distL="0" distR="0" wp14:anchorId="4DB5303B" wp14:editId="3B0814D6">
          <wp:extent cx="625475" cy="228600"/>
          <wp:effectExtent l="0" t="0" r="0" b="0"/>
          <wp:docPr id="876347534" name="Imagem 6" descr="Ícone&#10;&#10;Descrição gerada automa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m 5" descr="Ícone&#10;&#10;Descrição gerada automaticamente"/>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25475" cy="228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7C003"/>
    <w:multiLevelType w:val="hybridMultilevel"/>
    <w:tmpl w:val="82EAE60E"/>
    <w:lvl w:ilvl="0" w:tplc="341A4F1A">
      <w:start w:val="3"/>
      <w:numFmt w:val="decimal"/>
      <w:lvlText w:val="%1."/>
      <w:lvlJc w:val="left"/>
      <w:pPr>
        <w:ind w:left="720" w:hanging="360"/>
      </w:pPr>
    </w:lvl>
    <w:lvl w:ilvl="1" w:tplc="081C640A">
      <w:start w:val="1"/>
      <w:numFmt w:val="lowerLetter"/>
      <w:lvlText w:val="%2."/>
      <w:lvlJc w:val="left"/>
      <w:pPr>
        <w:ind w:left="1440" w:hanging="360"/>
      </w:pPr>
    </w:lvl>
    <w:lvl w:ilvl="2" w:tplc="292A9746">
      <w:start w:val="1"/>
      <w:numFmt w:val="lowerRoman"/>
      <w:lvlText w:val="%3."/>
      <w:lvlJc w:val="right"/>
      <w:pPr>
        <w:ind w:left="2160" w:hanging="180"/>
      </w:pPr>
    </w:lvl>
    <w:lvl w:ilvl="3" w:tplc="D80AB42C">
      <w:start w:val="1"/>
      <w:numFmt w:val="decimal"/>
      <w:lvlText w:val="%4."/>
      <w:lvlJc w:val="left"/>
      <w:pPr>
        <w:ind w:left="2880" w:hanging="360"/>
      </w:pPr>
    </w:lvl>
    <w:lvl w:ilvl="4" w:tplc="AACE215C">
      <w:start w:val="1"/>
      <w:numFmt w:val="lowerLetter"/>
      <w:lvlText w:val="%5."/>
      <w:lvlJc w:val="left"/>
      <w:pPr>
        <w:ind w:left="3600" w:hanging="360"/>
      </w:pPr>
    </w:lvl>
    <w:lvl w:ilvl="5" w:tplc="1812B6A2">
      <w:start w:val="1"/>
      <w:numFmt w:val="lowerRoman"/>
      <w:lvlText w:val="%6."/>
      <w:lvlJc w:val="right"/>
      <w:pPr>
        <w:ind w:left="4320" w:hanging="180"/>
      </w:pPr>
    </w:lvl>
    <w:lvl w:ilvl="6" w:tplc="0EB0BBF4">
      <w:start w:val="1"/>
      <w:numFmt w:val="decimal"/>
      <w:lvlText w:val="%7."/>
      <w:lvlJc w:val="left"/>
      <w:pPr>
        <w:ind w:left="5040" w:hanging="360"/>
      </w:pPr>
    </w:lvl>
    <w:lvl w:ilvl="7" w:tplc="1E16B7BA">
      <w:start w:val="1"/>
      <w:numFmt w:val="lowerLetter"/>
      <w:lvlText w:val="%8."/>
      <w:lvlJc w:val="left"/>
      <w:pPr>
        <w:ind w:left="5760" w:hanging="360"/>
      </w:pPr>
    </w:lvl>
    <w:lvl w:ilvl="8" w:tplc="EB08589A">
      <w:start w:val="1"/>
      <w:numFmt w:val="lowerRoman"/>
      <w:lvlText w:val="%9."/>
      <w:lvlJc w:val="right"/>
      <w:pPr>
        <w:ind w:left="6480" w:hanging="180"/>
      </w:pPr>
    </w:lvl>
  </w:abstractNum>
  <w:abstractNum w:abstractNumId="1" w15:restartNumberingAfterBreak="0">
    <w:nsid w:val="1B1405E4"/>
    <w:multiLevelType w:val="hybridMultilevel"/>
    <w:tmpl w:val="548A951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44885C61"/>
    <w:multiLevelType w:val="multilevel"/>
    <w:tmpl w:val="581EDEA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532CDACC"/>
    <w:multiLevelType w:val="hybridMultilevel"/>
    <w:tmpl w:val="75328590"/>
    <w:lvl w:ilvl="0" w:tplc="6B5074CA">
      <w:start w:val="1"/>
      <w:numFmt w:val="decimal"/>
      <w:lvlText w:val="●"/>
      <w:lvlJc w:val="left"/>
      <w:pPr>
        <w:ind w:left="720" w:hanging="360"/>
      </w:pPr>
    </w:lvl>
    <w:lvl w:ilvl="1" w:tplc="C6FEBB54">
      <w:start w:val="1"/>
      <w:numFmt w:val="lowerLetter"/>
      <w:lvlText w:val="%2."/>
      <w:lvlJc w:val="left"/>
      <w:pPr>
        <w:ind w:left="1440" w:hanging="360"/>
      </w:pPr>
    </w:lvl>
    <w:lvl w:ilvl="2" w:tplc="FC56F6F4">
      <w:start w:val="1"/>
      <w:numFmt w:val="lowerRoman"/>
      <w:lvlText w:val="%3."/>
      <w:lvlJc w:val="right"/>
      <w:pPr>
        <w:ind w:left="2160" w:hanging="180"/>
      </w:pPr>
    </w:lvl>
    <w:lvl w:ilvl="3" w:tplc="71FAEA24">
      <w:start w:val="1"/>
      <w:numFmt w:val="decimal"/>
      <w:lvlText w:val="%4."/>
      <w:lvlJc w:val="left"/>
      <w:pPr>
        <w:ind w:left="2880" w:hanging="360"/>
      </w:pPr>
    </w:lvl>
    <w:lvl w:ilvl="4" w:tplc="03E02816">
      <w:start w:val="1"/>
      <w:numFmt w:val="lowerLetter"/>
      <w:lvlText w:val="%5."/>
      <w:lvlJc w:val="left"/>
      <w:pPr>
        <w:ind w:left="3600" w:hanging="360"/>
      </w:pPr>
    </w:lvl>
    <w:lvl w:ilvl="5" w:tplc="4D1A6360">
      <w:start w:val="1"/>
      <w:numFmt w:val="lowerRoman"/>
      <w:lvlText w:val="%6."/>
      <w:lvlJc w:val="right"/>
      <w:pPr>
        <w:ind w:left="4320" w:hanging="180"/>
      </w:pPr>
    </w:lvl>
    <w:lvl w:ilvl="6" w:tplc="D848DD68">
      <w:start w:val="1"/>
      <w:numFmt w:val="decimal"/>
      <w:lvlText w:val="%7."/>
      <w:lvlJc w:val="left"/>
      <w:pPr>
        <w:ind w:left="5040" w:hanging="360"/>
      </w:pPr>
    </w:lvl>
    <w:lvl w:ilvl="7" w:tplc="61A8DD74">
      <w:start w:val="1"/>
      <w:numFmt w:val="lowerLetter"/>
      <w:lvlText w:val="%8."/>
      <w:lvlJc w:val="left"/>
      <w:pPr>
        <w:ind w:left="5760" w:hanging="360"/>
      </w:pPr>
    </w:lvl>
    <w:lvl w:ilvl="8" w:tplc="4AEE0776">
      <w:start w:val="1"/>
      <w:numFmt w:val="lowerRoman"/>
      <w:lvlText w:val="%9."/>
      <w:lvlJc w:val="right"/>
      <w:pPr>
        <w:ind w:left="6480" w:hanging="180"/>
      </w:pPr>
    </w:lvl>
  </w:abstractNum>
  <w:abstractNum w:abstractNumId="4" w15:restartNumberingAfterBreak="0">
    <w:nsid w:val="65466DE1"/>
    <w:multiLevelType w:val="hybridMultilevel"/>
    <w:tmpl w:val="E63C1092"/>
    <w:lvl w:ilvl="0" w:tplc="022EF02C">
      <w:start w:val="1"/>
      <w:numFmt w:val="decimal"/>
      <w:lvlText w:val="%1."/>
      <w:lvlJc w:val="left"/>
      <w:pPr>
        <w:ind w:left="720" w:hanging="360"/>
      </w:pPr>
    </w:lvl>
    <w:lvl w:ilvl="1" w:tplc="771ABC90">
      <w:start w:val="1"/>
      <w:numFmt w:val="lowerLetter"/>
      <w:lvlText w:val="%2."/>
      <w:lvlJc w:val="left"/>
      <w:pPr>
        <w:ind w:left="1440" w:hanging="360"/>
      </w:pPr>
    </w:lvl>
    <w:lvl w:ilvl="2" w:tplc="98767476">
      <w:start w:val="1"/>
      <w:numFmt w:val="lowerRoman"/>
      <w:lvlText w:val="%3."/>
      <w:lvlJc w:val="right"/>
      <w:pPr>
        <w:ind w:left="2160" w:hanging="180"/>
      </w:pPr>
    </w:lvl>
    <w:lvl w:ilvl="3" w:tplc="4A4CC640">
      <w:start w:val="1"/>
      <w:numFmt w:val="decimal"/>
      <w:lvlText w:val="%4."/>
      <w:lvlJc w:val="left"/>
      <w:pPr>
        <w:ind w:left="2880" w:hanging="360"/>
      </w:pPr>
    </w:lvl>
    <w:lvl w:ilvl="4" w:tplc="0B003CC2">
      <w:start w:val="1"/>
      <w:numFmt w:val="lowerLetter"/>
      <w:lvlText w:val="%5."/>
      <w:lvlJc w:val="left"/>
      <w:pPr>
        <w:ind w:left="3600" w:hanging="360"/>
      </w:pPr>
    </w:lvl>
    <w:lvl w:ilvl="5" w:tplc="3E42E8F0">
      <w:start w:val="1"/>
      <w:numFmt w:val="lowerRoman"/>
      <w:lvlText w:val="%6."/>
      <w:lvlJc w:val="right"/>
      <w:pPr>
        <w:ind w:left="4320" w:hanging="180"/>
      </w:pPr>
    </w:lvl>
    <w:lvl w:ilvl="6" w:tplc="CE90115C">
      <w:start w:val="1"/>
      <w:numFmt w:val="decimal"/>
      <w:lvlText w:val="%7."/>
      <w:lvlJc w:val="left"/>
      <w:pPr>
        <w:ind w:left="5040" w:hanging="360"/>
      </w:pPr>
    </w:lvl>
    <w:lvl w:ilvl="7" w:tplc="3F981784">
      <w:start w:val="1"/>
      <w:numFmt w:val="lowerLetter"/>
      <w:lvlText w:val="%8."/>
      <w:lvlJc w:val="left"/>
      <w:pPr>
        <w:ind w:left="5760" w:hanging="360"/>
      </w:pPr>
    </w:lvl>
    <w:lvl w:ilvl="8" w:tplc="ACCA7018">
      <w:start w:val="1"/>
      <w:numFmt w:val="lowerRoman"/>
      <w:lvlText w:val="%9."/>
      <w:lvlJc w:val="right"/>
      <w:pPr>
        <w:ind w:left="6480" w:hanging="180"/>
      </w:pPr>
    </w:lvl>
  </w:abstractNum>
  <w:abstractNum w:abstractNumId="5" w15:restartNumberingAfterBreak="0">
    <w:nsid w:val="74200A70"/>
    <w:multiLevelType w:val="hybridMultilevel"/>
    <w:tmpl w:val="A49EF090"/>
    <w:lvl w:ilvl="0" w:tplc="4BD48770">
      <w:start w:val="1"/>
      <w:numFmt w:val="decimal"/>
      <w:lvlText w:val="●"/>
      <w:lvlJc w:val="left"/>
      <w:pPr>
        <w:ind w:left="720" w:hanging="360"/>
      </w:pPr>
    </w:lvl>
    <w:lvl w:ilvl="1" w:tplc="621C24D2">
      <w:start w:val="1"/>
      <w:numFmt w:val="lowerLetter"/>
      <w:lvlText w:val="%2."/>
      <w:lvlJc w:val="left"/>
      <w:pPr>
        <w:ind w:left="1440" w:hanging="360"/>
      </w:pPr>
    </w:lvl>
    <w:lvl w:ilvl="2" w:tplc="1586F6A0">
      <w:start w:val="1"/>
      <w:numFmt w:val="lowerRoman"/>
      <w:lvlText w:val="%3."/>
      <w:lvlJc w:val="right"/>
      <w:pPr>
        <w:ind w:left="2160" w:hanging="180"/>
      </w:pPr>
    </w:lvl>
    <w:lvl w:ilvl="3" w:tplc="FBBE7512">
      <w:start w:val="1"/>
      <w:numFmt w:val="decimal"/>
      <w:lvlText w:val="%4."/>
      <w:lvlJc w:val="left"/>
      <w:pPr>
        <w:ind w:left="2880" w:hanging="360"/>
      </w:pPr>
    </w:lvl>
    <w:lvl w:ilvl="4" w:tplc="D06C6FBA">
      <w:start w:val="1"/>
      <w:numFmt w:val="lowerLetter"/>
      <w:lvlText w:val="%5."/>
      <w:lvlJc w:val="left"/>
      <w:pPr>
        <w:ind w:left="3600" w:hanging="360"/>
      </w:pPr>
    </w:lvl>
    <w:lvl w:ilvl="5" w:tplc="D53CE982">
      <w:start w:val="1"/>
      <w:numFmt w:val="lowerRoman"/>
      <w:lvlText w:val="%6."/>
      <w:lvlJc w:val="right"/>
      <w:pPr>
        <w:ind w:left="4320" w:hanging="180"/>
      </w:pPr>
    </w:lvl>
    <w:lvl w:ilvl="6" w:tplc="DEC492B4">
      <w:start w:val="1"/>
      <w:numFmt w:val="decimal"/>
      <w:lvlText w:val="%7."/>
      <w:lvlJc w:val="left"/>
      <w:pPr>
        <w:ind w:left="5040" w:hanging="360"/>
      </w:pPr>
    </w:lvl>
    <w:lvl w:ilvl="7" w:tplc="8F04FA86">
      <w:start w:val="1"/>
      <w:numFmt w:val="lowerLetter"/>
      <w:lvlText w:val="%8."/>
      <w:lvlJc w:val="left"/>
      <w:pPr>
        <w:ind w:left="5760" w:hanging="360"/>
      </w:pPr>
    </w:lvl>
    <w:lvl w:ilvl="8" w:tplc="73B41D02">
      <w:start w:val="1"/>
      <w:numFmt w:val="lowerRoman"/>
      <w:lvlText w:val="%9."/>
      <w:lvlJc w:val="right"/>
      <w:pPr>
        <w:ind w:left="6480" w:hanging="180"/>
      </w:pPr>
    </w:lvl>
  </w:abstractNum>
  <w:abstractNum w:abstractNumId="6" w15:restartNumberingAfterBreak="0">
    <w:nsid w:val="77DA39BD"/>
    <w:multiLevelType w:val="multilevel"/>
    <w:tmpl w:val="87B80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B0A2FFC"/>
    <w:multiLevelType w:val="hybridMultilevel"/>
    <w:tmpl w:val="D0AA8B7C"/>
    <w:lvl w:ilvl="0" w:tplc="AF561222">
      <w:start w:val="2"/>
      <w:numFmt w:val="decimal"/>
      <w:lvlText w:val="%1."/>
      <w:lvlJc w:val="left"/>
      <w:pPr>
        <w:ind w:left="720" w:hanging="360"/>
      </w:pPr>
    </w:lvl>
    <w:lvl w:ilvl="1" w:tplc="23C4635E">
      <w:start w:val="1"/>
      <w:numFmt w:val="lowerLetter"/>
      <w:lvlText w:val="%2."/>
      <w:lvlJc w:val="left"/>
      <w:pPr>
        <w:ind w:left="1440" w:hanging="360"/>
      </w:pPr>
    </w:lvl>
    <w:lvl w:ilvl="2" w:tplc="8FE6E3CE">
      <w:start w:val="1"/>
      <w:numFmt w:val="lowerRoman"/>
      <w:lvlText w:val="%3."/>
      <w:lvlJc w:val="right"/>
      <w:pPr>
        <w:ind w:left="2160" w:hanging="180"/>
      </w:pPr>
    </w:lvl>
    <w:lvl w:ilvl="3" w:tplc="079EAA04">
      <w:start w:val="1"/>
      <w:numFmt w:val="decimal"/>
      <w:lvlText w:val="%4."/>
      <w:lvlJc w:val="left"/>
      <w:pPr>
        <w:ind w:left="2880" w:hanging="360"/>
      </w:pPr>
    </w:lvl>
    <w:lvl w:ilvl="4" w:tplc="E1843C12">
      <w:start w:val="1"/>
      <w:numFmt w:val="lowerLetter"/>
      <w:lvlText w:val="%5."/>
      <w:lvlJc w:val="left"/>
      <w:pPr>
        <w:ind w:left="3600" w:hanging="360"/>
      </w:pPr>
    </w:lvl>
    <w:lvl w:ilvl="5" w:tplc="C99E4C94">
      <w:start w:val="1"/>
      <w:numFmt w:val="lowerRoman"/>
      <w:lvlText w:val="%6."/>
      <w:lvlJc w:val="right"/>
      <w:pPr>
        <w:ind w:left="4320" w:hanging="180"/>
      </w:pPr>
    </w:lvl>
    <w:lvl w:ilvl="6" w:tplc="3E52329C">
      <w:start w:val="1"/>
      <w:numFmt w:val="decimal"/>
      <w:lvlText w:val="%7."/>
      <w:lvlJc w:val="left"/>
      <w:pPr>
        <w:ind w:left="5040" w:hanging="360"/>
      </w:pPr>
    </w:lvl>
    <w:lvl w:ilvl="7" w:tplc="E72634E6">
      <w:start w:val="1"/>
      <w:numFmt w:val="lowerLetter"/>
      <w:lvlText w:val="%8."/>
      <w:lvlJc w:val="left"/>
      <w:pPr>
        <w:ind w:left="5760" w:hanging="360"/>
      </w:pPr>
    </w:lvl>
    <w:lvl w:ilvl="8" w:tplc="BD56299A">
      <w:start w:val="1"/>
      <w:numFmt w:val="lowerRoman"/>
      <w:lvlText w:val="%9."/>
      <w:lvlJc w:val="right"/>
      <w:pPr>
        <w:ind w:left="6480" w:hanging="180"/>
      </w:pPr>
    </w:lvl>
  </w:abstractNum>
  <w:num w:numId="1" w16cid:durableId="1197621933">
    <w:abstractNumId w:val="0"/>
  </w:num>
  <w:num w:numId="2" w16cid:durableId="418909310">
    <w:abstractNumId w:val="7"/>
  </w:num>
  <w:num w:numId="3" w16cid:durableId="634802008">
    <w:abstractNumId w:val="4"/>
  </w:num>
  <w:num w:numId="4" w16cid:durableId="48042619">
    <w:abstractNumId w:val="3"/>
  </w:num>
  <w:num w:numId="5" w16cid:durableId="829949245">
    <w:abstractNumId w:val="5"/>
  </w:num>
  <w:num w:numId="6" w16cid:durableId="925961424">
    <w:abstractNumId w:val="6"/>
  </w:num>
  <w:num w:numId="7" w16cid:durableId="902834158">
    <w:abstractNumId w:val="1"/>
  </w:num>
  <w:num w:numId="8" w16cid:durableId="15261674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1F1"/>
    <w:rsid w:val="00001217"/>
    <w:rsid w:val="00001E83"/>
    <w:rsid w:val="00005C70"/>
    <w:rsid w:val="00010297"/>
    <w:rsid w:val="000158EC"/>
    <w:rsid w:val="00016861"/>
    <w:rsid w:val="000171B1"/>
    <w:rsid w:val="00017E8C"/>
    <w:rsid w:val="00020031"/>
    <w:rsid w:val="000212D0"/>
    <w:rsid w:val="000245F6"/>
    <w:rsid w:val="0003097B"/>
    <w:rsid w:val="00030B39"/>
    <w:rsid w:val="00032A80"/>
    <w:rsid w:val="000331DF"/>
    <w:rsid w:val="0003526F"/>
    <w:rsid w:val="00035CCE"/>
    <w:rsid w:val="0003689D"/>
    <w:rsid w:val="0004020A"/>
    <w:rsid w:val="000424E6"/>
    <w:rsid w:val="0004303B"/>
    <w:rsid w:val="00045467"/>
    <w:rsid w:val="00047CDD"/>
    <w:rsid w:val="00050E74"/>
    <w:rsid w:val="000526B4"/>
    <w:rsid w:val="000529A4"/>
    <w:rsid w:val="00052EB3"/>
    <w:rsid w:val="000544C9"/>
    <w:rsid w:val="00055AFD"/>
    <w:rsid w:val="000573BF"/>
    <w:rsid w:val="00060359"/>
    <w:rsid w:val="0006416D"/>
    <w:rsid w:val="00067B0B"/>
    <w:rsid w:val="00067E66"/>
    <w:rsid w:val="00073E65"/>
    <w:rsid w:val="00073FB4"/>
    <w:rsid w:val="000747E1"/>
    <w:rsid w:val="00077F97"/>
    <w:rsid w:val="000868EC"/>
    <w:rsid w:val="000869EB"/>
    <w:rsid w:val="000946D4"/>
    <w:rsid w:val="00094F0F"/>
    <w:rsid w:val="000952B8"/>
    <w:rsid w:val="000A0D32"/>
    <w:rsid w:val="000A0DE4"/>
    <w:rsid w:val="000A1B07"/>
    <w:rsid w:val="000A2B70"/>
    <w:rsid w:val="000A393B"/>
    <w:rsid w:val="000A5267"/>
    <w:rsid w:val="000A54A6"/>
    <w:rsid w:val="000A6718"/>
    <w:rsid w:val="000A7319"/>
    <w:rsid w:val="000B0537"/>
    <w:rsid w:val="000B0938"/>
    <w:rsid w:val="000B349A"/>
    <w:rsid w:val="000B57BD"/>
    <w:rsid w:val="000B5D23"/>
    <w:rsid w:val="000B7205"/>
    <w:rsid w:val="000C2C60"/>
    <w:rsid w:val="000C77DB"/>
    <w:rsid w:val="000D3D62"/>
    <w:rsid w:val="000D43D6"/>
    <w:rsid w:val="000D550F"/>
    <w:rsid w:val="000D722D"/>
    <w:rsid w:val="000E499B"/>
    <w:rsid w:val="000E6734"/>
    <w:rsid w:val="000E69DD"/>
    <w:rsid w:val="000E6E7A"/>
    <w:rsid w:val="000E7B92"/>
    <w:rsid w:val="000F131D"/>
    <w:rsid w:val="000F3041"/>
    <w:rsid w:val="000F31D6"/>
    <w:rsid w:val="000F389D"/>
    <w:rsid w:val="000F3F8D"/>
    <w:rsid w:val="000F44F3"/>
    <w:rsid w:val="000F5D36"/>
    <w:rsid w:val="001013C5"/>
    <w:rsid w:val="001047A4"/>
    <w:rsid w:val="0010549F"/>
    <w:rsid w:val="00113C39"/>
    <w:rsid w:val="00113FC1"/>
    <w:rsid w:val="00115B66"/>
    <w:rsid w:val="00116935"/>
    <w:rsid w:val="00116D70"/>
    <w:rsid w:val="00120D63"/>
    <w:rsid w:val="00121B7F"/>
    <w:rsid w:val="001244AC"/>
    <w:rsid w:val="00131CEC"/>
    <w:rsid w:val="0013763F"/>
    <w:rsid w:val="001410E5"/>
    <w:rsid w:val="00145714"/>
    <w:rsid w:val="001504AB"/>
    <w:rsid w:val="0015057E"/>
    <w:rsid w:val="00150CBC"/>
    <w:rsid w:val="001532FA"/>
    <w:rsid w:val="00155312"/>
    <w:rsid w:val="00157705"/>
    <w:rsid w:val="001611B4"/>
    <w:rsid w:val="001614F4"/>
    <w:rsid w:val="00161E48"/>
    <w:rsid w:val="001624D9"/>
    <w:rsid w:val="001626FD"/>
    <w:rsid w:val="00162FD9"/>
    <w:rsid w:val="00166A5E"/>
    <w:rsid w:val="0017044E"/>
    <w:rsid w:val="00170546"/>
    <w:rsid w:val="001705A8"/>
    <w:rsid w:val="001722CA"/>
    <w:rsid w:val="0017248E"/>
    <w:rsid w:val="001736E9"/>
    <w:rsid w:val="00174FE7"/>
    <w:rsid w:val="00175B6F"/>
    <w:rsid w:val="00176344"/>
    <w:rsid w:val="001842E4"/>
    <w:rsid w:val="00184907"/>
    <w:rsid w:val="0019130B"/>
    <w:rsid w:val="001931ED"/>
    <w:rsid w:val="00193B3A"/>
    <w:rsid w:val="00194809"/>
    <w:rsid w:val="00196634"/>
    <w:rsid w:val="00197717"/>
    <w:rsid w:val="001979A8"/>
    <w:rsid w:val="00197C32"/>
    <w:rsid w:val="001A3580"/>
    <w:rsid w:val="001A385E"/>
    <w:rsid w:val="001A5A41"/>
    <w:rsid w:val="001A64F0"/>
    <w:rsid w:val="001B0881"/>
    <w:rsid w:val="001B0E2A"/>
    <w:rsid w:val="001B1132"/>
    <w:rsid w:val="001B128B"/>
    <w:rsid w:val="001B1D8A"/>
    <w:rsid w:val="001B1DB8"/>
    <w:rsid w:val="001B2947"/>
    <w:rsid w:val="001B3581"/>
    <w:rsid w:val="001B7778"/>
    <w:rsid w:val="001C0249"/>
    <w:rsid w:val="001C51D9"/>
    <w:rsid w:val="001C66E8"/>
    <w:rsid w:val="001C73B8"/>
    <w:rsid w:val="001C73BB"/>
    <w:rsid w:val="001D2A2E"/>
    <w:rsid w:val="001E33AC"/>
    <w:rsid w:val="001E3F40"/>
    <w:rsid w:val="001E4CE3"/>
    <w:rsid w:val="001E648E"/>
    <w:rsid w:val="001E7DE5"/>
    <w:rsid w:val="001F163E"/>
    <w:rsid w:val="001F21E0"/>
    <w:rsid w:val="001F53B5"/>
    <w:rsid w:val="001F549C"/>
    <w:rsid w:val="001F5693"/>
    <w:rsid w:val="001F5D73"/>
    <w:rsid w:val="001F6C31"/>
    <w:rsid w:val="001F70E6"/>
    <w:rsid w:val="001F7404"/>
    <w:rsid w:val="001F76E1"/>
    <w:rsid w:val="002024D9"/>
    <w:rsid w:val="0020252C"/>
    <w:rsid w:val="00205222"/>
    <w:rsid w:val="00205A11"/>
    <w:rsid w:val="00210527"/>
    <w:rsid w:val="00210E66"/>
    <w:rsid w:val="0021119D"/>
    <w:rsid w:val="002114D9"/>
    <w:rsid w:val="00212847"/>
    <w:rsid w:val="00213D88"/>
    <w:rsid w:val="002204FD"/>
    <w:rsid w:val="0022239F"/>
    <w:rsid w:val="002250CF"/>
    <w:rsid w:val="00225A84"/>
    <w:rsid w:val="00226376"/>
    <w:rsid w:val="002276D7"/>
    <w:rsid w:val="00232F97"/>
    <w:rsid w:val="00233A28"/>
    <w:rsid w:val="00234A69"/>
    <w:rsid w:val="00237121"/>
    <w:rsid w:val="00240FB4"/>
    <w:rsid w:val="0024190B"/>
    <w:rsid w:val="002422C8"/>
    <w:rsid w:val="00243411"/>
    <w:rsid w:val="00243910"/>
    <w:rsid w:val="00243A82"/>
    <w:rsid w:val="002447B5"/>
    <w:rsid w:val="002451AD"/>
    <w:rsid w:val="00250BC2"/>
    <w:rsid w:val="002521E1"/>
    <w:rsid w:val="0026024E"/>
    <w:rsid w:val="0026288F"/>
    <w:rsid w:val="002672A4"/>
    <w:rsid w:val="00280E76"/>
    <w:rsid w:val="00285592"/>
    <w:rsid w:val="00285AA5"/>
    <w:rsid w:val="002869A4"/>
    <w:rsid w:val="002904E0"/>
    <w:rsid w:val="0029280D"/>
    <w:rsid w:val="00293989"/>
    <w:rsid w:val="00294E45"/>
    <w:rsid w:val="002959BA"/>
    <w:rsid w:val="00296171"/>
    <w:rsid w:val="002A22AE"/>
    <w:rsid w:val="002A2B05"/>
    <w:rsid w:val="002A2D96"/>
    <w:rsid w:val="002A2DFC"/>
    <w:rsid w:val="002A5DCF"/>
    <w:rsid w:val="002A7090"/>
    <w:rsid w:val="002A769F"/>
    <w:rsid w:val="002B0B3B"/>
    <w:rsid w:val="002B1469"/>
    <w:rsid w:val="002B3D1A"/>
    <w:rsid w:val="002B4DC0"/>
    <w:rsid w:val="002B59E5"/>
    <w:rsid w:val="002B6EC3"/>
    <w:rsid w:val="002C1D81"/>
    <w:rsid w:val="002C4AEC"/>
    <w:rsid w:val="002C5192"/>
    <w:rsid w:val="002D17BA"/>
    <w:rsid w:val="002D2F92"/>
    <w:rsid w:val="002D41E8"/>
    <w:rsid w:val="002D6132"/>
    <w:rsid w:val="002D68B7"/>
    <w:rsid w:val="002E012B"/>
    <w:rsid w:val="002E5AF6"/>
    <w:rsid w:val="002E6FEB"/>
    <w:rsid w:val="002E71D7"/>
    <w:rsid w:val="002F1D9D"/>
    <w:rsid w:val="002F59C4"/>
    <w:rsid w:val="00303D64"/>
    <w:rsid w:val="00304AEC"/>
    <w:rsid w:val="00304E58"/>
    <w:rsid w:val="00305C40"/>
    <w:rsid w:val="00306CEB"/>
    <w:rsid w:val="00307A8F"/>
    <w:rsid w:val="0031013E"/>
    <w:rsid w:val="00314D95"/>
    <w:rsid w:val="00317A94"/>
    <w:rsid w:val="003202A9"/>
    <w:rsid w:val="00322A72"/>
    <w:rsid w:val="003246B6"/>
    <w:rsid w:val="00324B98"/>
    <w:rsid w:val="00324DA0"/>
    <w:rsid w:val="00324E4A"/>
    <w:rsid w:val="0033081F"/>
    <w:rsid w:val="003311EB"/>
    <w:rsid w:val="00332893"/>
    <w:rsid w:val="0033504A"/>
    <w:rsid w:val="00335B53"/>
    <w:rsid w:val="0033750D"/>
    <w:rsid w:val="00341F81"/>
    <w:rsid w:val="003459B9"/>
    <w:rsid w:val="00345B03"/>
    <w:rsid w:val="003460B9"/>
    <w:rsid w:val="00347102"/>
    <w:rsid w:val="00350C60"/>
    <w:rsid w:val="00352642"/>
    <w:rsid w:val="003578C2"/>
    <w:rsid w:val="00363731"/>
    <w:rsid w:val="00370D68"/>
    <w:rsid w:val="00373D8D"/>
    <w:rsid w:val="003740C8"/>
    <w:rsid w:val="00374278"/>
    <w:rsid w:val="003758FC"/>
    <w:rsid w:val="00375FED"/>
    <w:rsid w:val="00376079"/>
    <w:rsid w:val="0037662A"/>
    <w:rsid w:val="003811A7"/>
    <w:rsid w:val="00385881"/>
    <w:rsid w:val="00387BA4"/>
    <w:rsid w:val="0039317D"/>
    <w:rsid w:val="00393BA6"/>
    <w:rsid w:val="00394491"/>
    <w:rsid w:val="00395CBA"/>
    <w:rsid w:val="00396725"/>
    <w:rsid w:val="00396882"/>
    <w:rsid w:val="003A0C58"/>
    <w:rsid w:val="003A1113"/>
    <w:rsid w:val="003A251C"/>
    <w:rsid w:val="003A2909"/>
    <w:rsid w:val="003A2D59"/>
    <w:rsid w:val="003A6D8F"/>
    <w:rsid w:val="003A79E7"/>
    <w:rsid w:val="003A7F5C"/>
    <w:rsid w:val="003B130C"/>
    <w:rsid w:val="003B4B13"/>
    <w:rsid w:val="003B5AD2"/>
    <w:rsid w:val="003B6EC0"/>
    <w:rsid w:val="003C03C5"/>
    <w:rsid w:val="003C048C"/>
    <w:rsid w:val="003C04FE"/>
    <w:rsid w:val="003C0913"/>
    <w:rsid w:val="003C15E6"/>
    <w:rsid w:val="003C198C"/>
    <w:rsid w:val="003C1E46"/>
    <w:rsid w:val="003C3DEC"/>
    <w:rsid w:val="003C6589"/>
    <w:rsid w:val="003D0A67"/>
    <w:rsid w:val="003D32F8"/>
    <w:rsid w:val="003D5074"/>
    <w:rsid w:val="003D5DE0"/>
    <w:rsid w:val="003D630C"/>
    <w:rsid w:val="003D7A36"/>
    <w:rsid w:val="003D7E1A"/>
    <w:rsid w:val="003E1985"/>
    <w:rsid w:val="003E1C9F"/>
    <w:rsid w:val="003E2688"/>
    <w:rsid w:val="003E424B"/>
    <w:rsid w:val="003E55C7"/>
    <w:rsid w:val="003E5A58"/>
    <w:rsid w:val="003E62A3"/>
    <w:rsid w:val="003E6AC3"/>
    <w:rsid w:val="003F0BDA"/>
    <w:rsid w:val="003F21C3"/>
    <w:rsid w:val="003F2DDA"/>
    <w:rsid w:val="003F3483"/>
    <w:rsid w:val="003F3A68"/>
    <w:rsid w:val="003F6194"/>
    <w:rsid w:val="003F69E4"/>
    <w:rsid w:val="00401472"/>
    <w:rsid w:val="00402FF8"/>
    <w:rsid w:val="00413340"/>
    <w:rsid w:val="00415F12"/>
    <w:rsid w:val="00420349"/>
    <w:rsid w:val="00426077"/>
    <w:rsid w:val="00430000"/>
    <w:rsid w:val="00430675"/>
    <w:rsid w:val="004330F4"/>
    <w:rsid w:val="00434EBC"/>
    <w:rsid w:val="00436B77"/>
    <w:rsid w:val="0043726E"/>
    <w:rsid w:val="004447C0"/>
    <w:rsid w:val="00444809"/>
    <w:rsid w:val="00447017"/>
    <w:rsid w:val="00447B04"/>
    <w:rsid w:val="0045150E"/>
    <w:rsid w:val="004523CD"/>
    <w:rsid w:val="00452831"/>
    <w:rsid w:val="0045546C"/>
    <w:rsid w:val="00455632"/>
    <w:rsid w:val="004603AD"/>
    <w:rsid w:val="00466C9E"/>
    <w:rsid w:val="0047097D"/>
    <w:rsid w:val="00471544"/>
    <w:rsid w:val="004716C3"/>
    <w:rsid w:val="00476A79"/>
    <w:rsid w:val="004771F1"/>
    <w:rsid w:val="00480357"/>
    <w:rsid w:val="0048035E"/>
    <w:rsid w:val="00484FAF"/>
    <w:rsid w:val="00490630"/>
    <w:rsid w:val="00490FF9"/>
    <w:rsid w:val="00493E7F"/>
    <w:rsid w:val="00494F7C"/>
    <w:rsid w:val="00495F06"/>
    <w:rsid w:val="004A0A6E"/>
    <w:rsid w:val="004A1556"/>
    <w:rsid w:val="004A2EBA"/>
    <w:rsid w:val="004B142F"/>
    <w:rsid w:val="004B20B5"/>
    <w:rsid w:val="004B2D16"/>
    <w:rsid w:val="004B401E"/>
    <w:rsid w:val="004B57B8"/>
    <w:rsid w:val="004B7601"/>
    <w:rsid w:val="004C1AB7"/>
    <w:rsid w:val="004C2D05"/>
    <w:rsid w:val="004C507F"/>
    <w:rsid w:val="004C5653"/>
    <w:rsid w:val="004C7EE3"/>
    <w:rsid w:val="004D0B0D"/>
    <w:rsid w:val="004D4B35"/>
    <w:rsid w:val="004D5278"/>
    <w:rsid w:val="004D568D"/>
    <w:rsid w:val="004D62B7"/>
    <w:rsid w:val="004D6BB7"/>
    <w:rsid w:val="004E150B"/>
    <w:rsid w:val="004E2D62"/>
    <w:rsid w:val="004E36B0"/>
    <w:rsid w:val="004E6969"/>
    <w:rsid w:val="004F013C"/>
    <w:rsid w:val="004F11D6"/>
    <w:rsid w:val="004F2B83"/>
    <w:rsid w:val="004F2F3B"/>
    <w:rsid w:val="004F35D4"/>
    <w:rsid w:val="004F6254"/>
    <w:rsid w:val="004F66F3"/>
    <w:rsid w:val="00501ADB"/>
    <w:rsid w:val="00504D57"/>
    <w:rsid w:val="00511156"/>
    <w:rsid w:val="00512DE4"/>
    <w:rsid w:val="00516F1F"/>
    <w:rsid w:val="00517986"/>
    <w:rsid w:val="00520005"/>
    <w:rsid w:val="005207D9"/>
    <w:rsid w:val="00521C56"/>
    <w:rsid w:val="005226CA"/>
    <w:rsid w:val="00523458"/>
    <w:rsid w:val="005265D9"/>
    <w:rsid w:val="005308F7"/>
    <w:rsid w:val="00531456"/>
    <w:rsid w:val="00537E13"/>
    <w:rsid w:val="00543D51"/>
    <w:rsid w:val="0054440F"/>
    <w:rsid w:val="0054452B"/>
    <w:rsid w:val="0054462C"/>
    <w:rsid w:val="00545ACC"/>
    <w:rsid w:val="00545EA0"/>
    <w:rsid w:val="00547AB3"/>
    <w:rsid w:val="00547F55"/>
    <w:rsid w:val="00551BA6"/>
    <w:rsid w:val="005522C1"/>
    <w:rsid w:val="0055239C"/>
    <w:rsid w:val="00553085"/>
    <w:rsid w:val="00554351"/>
    <w:rsid w:val="00555EC2"/>
    <w:rsid w:val="0056212D"/>
    <w:rsid w:val="005676DA"/>
    <w:rsid w:val="005677AA"/>
    <w:rsid w:val="00567D8F"/>
    <w:rsid w:val="00574519"/>
    <w:rsid w:val="00574CB7"/>
    <w:rsid w:val="005753BF"/>
    <w:rsid w:val="00575C4E"/>
    <w:rsid w:val="00575FCB"/>
    <w:rsid w:val="005771D1"/>
    <w:rsid w:val="00580074"/>
    <w:rsid w:val="00581F23"/>
    <w:rsid w:val="00582946"/>
    <w:rsid w:val="0058298E"/>
    <w:rsid w:val="00583C2B"/>
    <w:rsid w:val="00584987"/>
    <w:rsid w:val="00585776"/>
    <w:rsid w:val="00585EBE"/>
    <w:rsid w:val="00590683"/>
    <w:rsid w:val="0059188D"/>
    <w:rsid w:val="005A2085"/>
    <w:rsid w:val="005A21E9"/>
    <w:rsid w:val="005A407E"/>
    <w:rsid w:val="005A6138"/>
    <w:rsid w:val="005B043A"/>
    <w:rsid w:val="005B09AA"/>
    <w:rsid w:val="005B1B00"/>
    <w:rsid w:val="005B2B1A"/>
    <w:rsid w:val="005B2B3C"/>
    <w:rsid w:val="005B3355"/>
    <w:rsid w:val="005B3F3A"/>
    <w:rsid w:val="005C1AD1"/>
    <w:rsid w:val="005C2DF1"/>
    <w:rsid w:val="005C4D0D"/>
    <w:rsid w:val="005C7D66"/>
    <w:rsid w:val="005D00F5"/>
    <w:rsid w:val="005D4860"/>
    <w:rsid w:val="005D56A1"/>
    <w:rsid w:val="005D5C4C"/>
    <w:rsid w:val="005D7536"/>
    <w:rsid w:val="005E3646"/>
    <w:rsid w:val="005E3DA1"/>
    <w:rsid w:val="005E4663"/>
    <w:rsid w:val="005E48B0"/>
    <w:rsid w:val="005E7AA6"/>
    <w:rsid w:val="005F40A7"/>
    <w:rsid w:val="005F5555"/>
    <w:rsid w:val="005F5652"/>
    <w:rsid w:val="005F5889"/>
    <w:rsid w:val="005F5D1F"/>
    <w:rsid w:val="005F7650"/>
    <w:rsid w:val="00605A30"/>
    <w:rsid w:val="00605D90"/>
    <w:rsid w:val="00606FB8"/>
    <w:rsid w:val="006105E5"/>
    <w:rsid w:val="00610E56"/>
    <w:rsid w:val="006132F3"/>
    <w:rsid w:val="00613B61"/>
    <w:rsid w:val="00613F8C"/>
    <w:rsid w:val="00616521"/>
    <w:rsid w:val="00627A0A"/>
    <w:rsid w:val="00630843"/>
    <w:rsid w:val="00630B30"/>
    <w:rsid w:val="00631F1D"/>
    <w:rsid w:val="00632DE0"/>
    <w:rsid w:val="00633060"/>
    <w:rsid w:val="00635A7F"/>
    <w:rsid w:val="0064662E"/>
    <w:rsid w:val="0064799C"/>
    <w:rsid w:val="00650877"/>
    <w:rsid w:val="00651646"/>
    <w:rsid w:val="00651746"/>
    <w:rsid w:val="0065185A"/>
    <w:rsid w:val="0065253E"/>
    <w:rsid w:val="00653789"/>
    <w:rsid w:val="00653B5D"/>
    <w:rsid w:val="006604CC"/>
    <w:rsid w:val="00660F75"/>
    <w:rsid w:val="006617F5"/>
    <w:rsid w:val="006632A1"/>
    <w:rsid w:val="00670155"/>
    <w:rsid w:val="00670E94"/>
    <w:rsid w:val="00674DE2"/>
    <w:rsid w:val="00681FA8"/>
    <w:rsid w:val="0068221B"/>
    <w:rsid w:val="00682C66"/>
    <w:rsid w:val="0068596F"/>
    <w:rsid w:val="006861A1"/>
    <w:rsid w:val="006863E1"/>
    <w:rsid w:val="00687010"/>
    <w:rsid w:val="0068731D"/>
    <w:rsid w:val="00687853"/>
    <w:rsid w:val="0069347C"/>
    <w:rsid w:val="00693568"/>
    <w:rsid w:val="006971FC"/>
    <w:rsid w:val="006A14BD"/>
    <w:rsid w:val="006A2153"/>
    <w:rsid w:val="006A3432"/>
    <w:rsid w:val="006A3ADC"/>
    <w:rsid w:val="006A5531"/>
    <w:rsid w:val="006A5677"/>
    <w:rsid w:val="006A6825"/>
    <w:rsid w:val="006B1347"/>
    <w:rsid w:val="006B40E2"/>
    <w:rsid w:val="006B5A29"/>
    <w:rsid w:val="006C0302"/>
    <w:rsid w:val="006C305B"/>
    <w:rsid w:val="006C418B"/>
    <w:rsid w:val="006C449A"/>
    <w:rsid w:val="006C56C7"/>
    <w:rsid w:val="006C693A"/>
    <w:rsid w:val="006C7DE0"/>
    <w:rsid w:val="006C7EC6"/>
    <w:rsid w:val="006D1B59"/>
    <w:rsid w:val="006D3581"/>
    <w:rsid w:val="006D3E54"/>
    <w:rsid w:val="006D524B"/>
    <w:rsid w:val="006D6BFD"/>
    <w:rsid w:val="006E06D4"/>
    <w:rsid w:val="006E06E2"/>
    <w:rsid w:val="006E14B0"/>
    <w:rsid w:val="006E2538"/>
    <w:rsid w:val="006E27DC"/>
    <w:rsid w:val="006E2E84"/>
    <w:rsid w:val="006E3280"/>
    <w:rsid w:val="006E4F41"/>
    <w:rsid w:val="006E55B2"/>
    <w:rsid w:val="006E6102"/>
    <w:rsid w:val="006E6B0F"/>
    <w:rsid w:val="006E76F7"/>
    <w:rsid w:val="006F362A"/>
    <w:rsid w:val="006F3D67"/>
    <w:rsid w:val="006F65D2"/>
    <w:rsid w:val="006F67A5"/>
    <w:rsid w:val="00701739"/>
    <w:rsid w:val="00701FFC"/>
    <w:rsid w:val="00702044"/>
    <w:rsid w:val="0071246E"/>
    <w:rsid w:val="007217E1"/>
    <w:rsid w:val="00723B87"/>
    <w:rsid w:val="00724C77"/>
    <w:rsid w:val="00727705"/>
    <w:rsid w:val="00732B70"/>
    <w:rsid w:val="00733716"/>
    <w:rsid w:val="007344C4"/>
    <w:rsid w:val="00735ADC"/>
    <w:rsid w:val="00742AED"/>
    <w:rsid w:val="00742B35"/>
    <w:rsid w:val="0074661A"/>
    <w:rsid w:val="00747586"/>
    <w:rsid w:val="00752032"/>
    <w:rsid w:val="00752469"/>
    <w:rsid w:val="00753E10"/>
    <w:rsid w:val="0075505D"/>
    <w:rsid w:val="00755E1C"/>
    <w:rsid w:val="00760331"/>
    <w:rsid w:val="0076048F"/>
    <w:rsid w:val="00761991"/>
    <w:rsid w:val="00761D2E"/>
    <w:rsid w:val="0076236E"/>
    <w:rsid w:val="00764739"/>
    <w:rsid w:val="00764E19"/>
    <w:rsid w:val="0076537E"/>
    <w:rsid w:val="00770E18"/>
    <w:rsid w:val="007715F2"/>
    <w:rsid w:val="007717EB"/>
    <w:rsid w:val="0078586E"/>
    <w:rsid w:val="00785904"/>
    <w:rsid w:val="00786E00"/>
    <w:rsid w:val="0079178C"/>
    <w:rsid w:val="0079226E"/>
    <w:rsid w:val="00792936"/>
    <w:rsid w:val="0079627E"/>
    <w:rsid w:val="007A0345"/>
    <w:rsid w:val="007A0863"/>
    <w:rsid w:val="007A0EE7"/>
    <w:rsid w:val="007A22AA"/>
    <w:rsid w:val="007A31E7"/>
    <w:rsid w:val="007A6CB3"/>
    <w:rsid w:val="007B377E"/>
    <w:rsid w:val="007B47DA"/>
    <w:rsid w:val="007B53E0"/>
    <w:rsid w:val="007B5692"/>
    <w:rsid w:val="007C0D27"/>
    <w:rsid w:val="007C116A"/>
    <w:rsid w:val="007C15E9"/>
    <w:rsid w:val="007C1864"/>
    <w:rsid w:val="007C40BD"/>
    <w:rsid w:val="007C49D7"/>
    <w:rsid w:val="007C49E0"/>
    <w:rsid w:val="007C5ACA"/>
    <w:rsid w:val="007D4177"/>
    <w:rsid w:val="007D5841"/>
    <w:rsid w:val="007D6DDA"/>
    <w:rsid w:val="007E3D53"/>
    <w:rsid w:val="007E5512"/>
    <w:rsid w:val="007E68BA"/>
    <w:rsid w:val="007F722B"/>
    <w:rsid w:val="0080287C"/>
    <w:rsid w:val="00805E3E"/>
    <w:rsid w:val="008069B7"/>
    <w:rsid w:val="00810D2B"/>
    <w:rsid w:val="008122A8"/>
    <w:rsid w:val="00812478"/>
    <w:rsid w:val="008137EC"/>
    <w:rsid w:val="0081388B"/>
    <w:rsid w:val="00817C09"/>
    <w:rsid w:val="0082158E"/>
    <w:rsid w:val="008227B2"/>
    <w:rsid w:val="0082429D"/>
    <w:rsid w:val="008263AB"/>
    <w:rsid w:val="008377C2"/>
    <w:rsid w:val="00837C03"/>
    <w:rsid w:val="00840667"/>
    <w:rsid w:val="00843654"/>
    <w:rsid w:val="00844972"/>
    <w:rsid w:val="00844BA8"/>
    <w:rsid w:val="0084735E"/>
    <w:rsid w:val="00851C7D"/>
    <w:rsid w:val="00857F11"/>
    <w:rsid w:val="008630E6"/>
    <w:rsid w:val="00866069"/>
    <w:rsid w:val="0086698D"/>
    <w:rsid w:val="00870BCC"/>
    <w:rsid w:val="008710EB"/>
    <w:rsid w:val="008715A8"/>
    <w:rsid w:val="008729A5"/>
    <w:rsid w:val="008762E8"/>
    <w:rsid w:val="00882EF7"/>
    <w:rsid w:val="008859F5"/>
    <w:rsid w:val="00885F09"/>
    <w:rsid w:val="008929DD"/>
    <w:rsid w:val="00895899"/>
    <w:rsid w:val="00896D51"/>
    <w:rsid w:val="00896EF0"/>
    <w:rsid w:val="00897B38"/>
    <w:rsid w:val="008A0006"/>
    <w:rsid w:val="008A1B53"/>
    <w:rsid w:val="008A206C"/>
    <w:rsid w:val="008A220C"/>
    <w:rsid w:val="008A251A"/>
    <w:rsid w:val="008A28D3"/>
    <w:rsid w:val="008A76C2"/>
    <w:rsid w:val="008B17E4"/>
    <w:rsid w:val="008B21F2"/>
    <w:rsid w:val="008B57BB"/>
    <w:rsid w:val="008C09D1"/>
    <w:rsid w:val="008C18E6"/>
    <w:rsid w:val="008C24BD"/>
    <w:rsid w:val="008C4131"/>
    <w:rsid w:val="008C5356"/>
    <w:rsid w:val="008C5D5C"/>
    <w:rsid w:val="008C7DC7"/>
    <w:rsid w:val="008C7E47"/>
    <w:rsid w:val="008D0035"/>
    <w:rsid w:val="008D1F4A"/>
    <w:rsid w:val="008D5DB9"/>
    <w:rsid w:val="008E0FEC"/>
    <w:rsid w:val="008E2FAD"/>
    <w:rsid w:val="008E32E4"/>
    <w:rsid w:val="008E39E9"/>
    <w:rsid w:val="008E3FFD"/>
    <w:rsid w:val="008E40A7"/>
    <w:rsid w:val="008F1A7A"/>
    <w:rsid w:val="008F5DAE"/>
    <w:rsid w:val="00900536"/>
    <w:rsid w:val="00901375"/>
    <w:rsid w:val="009015B0"/>
    <w:rsid w:val="00904779"/>
    <w:rsid w:val="009067C5"/>
    <w:rsid w:val="00907308"/>
    <w:rsid w:val="00916D89"/>
    <w:rsid w:val="009176EC"/>
    <w:rsid w:val="0092014D"/>
    <w:rsid w:val="0092262C"/>
    <w:rsid w:val="00922C42"/>
    <w:rsid w:val="009237EF"/>
    <w:rsid w:val="009253DA"/>
    <w:rsid w:val="0092555E"/>
    <w:rsid w:val="009266CC"/>
    <w:rsid w:val="0093114B"/>
    <w:rsid w:val="00931195"/>
    <w:rsid w:val="0093201E"/>
    <w:rsid w:val="0093317F"/>
    <w:rsid w:val="009336B9"/>
    <w:rsid w:val="00933FEE"/>
    <w:rsid w:val="00934393"/>
    <w:rsid w:val="00934F7D"/>
    <w:rsid w:val="009358BE"/>
    <w:rsid w:val="009377CC"/>
    <w:rsid w:val="009401F4"/>
    <w:rsid w:val="009419F5"/>
    <w:rsid w:val="00950069"/>
    <w:rsid w:val="00951651"/>
    <w:rsid w:val="009516F7"/>
    <w:rsid w:val="00953535"/>
    <w:rsid w:val="009556D8"/>
    <w:rsid w:val="00957442"/>
    <w:rsid w:val="00961966"/>
    <w:rsid w:val="0097251D"/>
    <w:rsid w:val="00977B1C"/>
    <w:rsid w:val="00980996"/>
    <w:rsid w:val="00981D34"/>
    <w:rsid w:val="00981EBD"/>
    <w:rsid w:val="00982260"/>
    <w:rsid w:val="0098316F"/>
    <w:rsid w:val="00985B44"/>
    <w:rsid w:val="00987A5E"/>
    <w:rsid w:val="009921BE"/>
    <w:rsid w:val="0099515A"/>
    <w:rsid w:val="009966A3"/>
    <w:rsid w:val="00996D7B"/>
    <w:rsid w:val="009A0C74"/>
    <w:rsid w:val="009A46B6"/>
    <w:rsid w:val="009A5A4C"/>
    <w:rsid w:val="009A6BAD"/>
    <w:rsid w:val="009A736C"/>
    <w:rsid w:val="009B7264"/>
    <w:rsid w:val="009B76AD"/>
    <w:rsid w:val="009B787D"/>
    <w:rsid w:val="009B7FE1"/>
    <w:rsid w:val="009C05EC"/>
    <w:rsid w:val="009C18A7"/>
    <w:rsid w:val="009C540D"/>
    <w:rsid w:val="009D1CB3"/>
    <w:rsid w:val="009D42DF"/>
    <w:rsid w:val="009D4933"/>
    <w:rsid w:val="009D5174"/>
    <w:rsid w:val="009E2060"/>
    <w:rsid w:val="009E2D9E"/>
    <w:rsid w:val="009E7486"/>
    <w:rsid w:val="009F0CEF"/>
    <w:rsid w:val="009F16A5"/>
    <w:rsid w:val="009F216C"/>
    <w:rsid w:val="009F3018"/>
    <w:rsid w:val="009F31DB"/>
    <w:rsid w:val="00A0143B"/>
    <w:rsid w:val="00A0248B"/>
    <w:rsid w:val="00A10992"/>
    <w:rsid w:val="00A10C49"/>
    <w:rsid w:val="00A16647"/>
    <w:rsid w:val="00A2170F"/>
    <w:rsid w:val="00A21F0C"/>
    <w:rsid w:val="00A2506F"/>
    <w:rsid w:val="00A255B6"/>
    <w:rsid w:val="00A26126"/>
    <w:rsid w:val="00A30109"/>
    <w:rsid w:val="00A30B8B"/>
    <w:rsid w:val="00A34C12"/>
    <w:rsid w:val="00A41B96"/>
    <w:rsid w:val="00A477C7"/>
    <w:rsid w:val="00A47BB7"/>
    <w:rsid w:val="00A50CD9"/>
    <w:rsid w:val="00A5417B"/>
    <w:rsid w:val="00A553C7"/>
    <w:rsid w:val="00A60285"/>
    <w:rsid w:val="00A6214C"/>
    <w:rsid w:val="00A63524"/>
    <w:rsid w:val="00A64BB3"/>
    <w:rsid w:val="00A661E6"/>
    <w:rsid w:val="00A66D23"/>
    <w:rsid w:val="00A67C53"/>
    <w:rsid w:val="00A72459"/>
    <w:rsid w:val="00A734B1"/>
    <w:rsid w:val="00A7595C"/>
    <w:rsid w:val="00A766CE"/>
    <w:rsid w:val="00A8188D"/>
    <w:rsid w:val="00A82430"/>
    <w:rsid w:val="00A83833"/>
    <w:rsid w:val="00A8783D"/>
    <w:rsid w:val="00A90C5A"/>
    <w:rsid w:val="00A9457D"/>
    <w:rsid w:val="00A947B7"/>
    <w:rsid w:val="00A955BC"/>
    <w:rsid w:val="00A96381"/>
    <w:rsid w:val="00AA047B"/>
    <w:rsid w:val="00AA429A"/>
    <w:rsid w:val="00AA451B"/>
    <w:rsid w:val="00AA70FA"/>
    <w:rsid w:val="00AA715B"/>
    <w:rsid w:val="00AB0180"/>
    <w:rsid w:val="00AB29B0"/>
    <w:rsid w:val="00AB616E"/>
    <w:rsid w:val="00AC0A5C"/>
    <w:rsid w:val="00AC2336"/>
    <w:rsid w:val="00AC3942"/>
    <w:rsid w:val="00AC42FC"/>
    <w:rsid w:val="00AE0B3D"/>
    <w:rsid w:val="00AE28F7"/>
    <w:rsid w:val="00AE3590"/>
    <w:rsid w:val="00AE53FF"/>
    <w:rsid w:val="00AF0764"/>
    <w:rsid w:val="00AF2C4E"/>
    <w:rsid w:val="00AF36FB"/>
    <w:rsid w:val="00AF397B"/>
    <w:rsid w:val="00AF64EB"/>
    <w:rsid w:val="00AF7117"/>
    <w:rsid w:val="00B03CA6"/>
    <w:rsid w:val="00B03FAF"/>
    <w:rsid w:val="00B06423"/>
    <w:rsid w:val="00B06430"/>
    <w:rsid w:val="00B06B46"/>
    <w:rsid w:val="00B10748"/>
    <w:rsid w:val="00B13040"/>
    <w:rsid w:val="00B152AC"/>
    <w:rsid w:val="00B1535C"/>
    <w:rsid w:val="00B15F68"/>
    <w:rsid w:val="00B21441"/>
    <w:rsid w:val="00B21A66"/>
    <w:rsid w:val="00B22A80"/>
    <w:rsid w:val="00B231EF"/>
    <w:rsid w:val="00B241AE"/>
    <w:rsid w:val="00B2599E"/>
    <w:rsid w:val="00B30470"/>
    <w:rsid w:val="00B32630"/>
    <w:rsid w:val="00B3280C"/>
    <w:rsid w:val="00B33894"/>
    <w:rsid w:val="00B3515B"/>
    <w:rsid w:val="00B37D33"/>
    <w:rsid w:val="00B40552"/>
    <w:rsid w:val="00B4433E"/>
    <w:rsid w:val="00B46216"/>
    <w:rsid w:val="00B47A1F"/>
    <w:rsid w:val="00B50978"/>
    <w:rsid w:val="00B51044"/>
    <w:rsid w:val="00B527B2"/>
    <w:rsid w:val="00B52AD5"/>
    <w:rsid w:val="00B52F31"/>
    <w:rsid w:val="00B55122"/>
    <w:rsid w:val="00B55BC9"/>
    <w:rsid w:val="00B56B48"/>
    <w:rsid w:val="00B606A3"/>
    <w:rsid w:val="00B7030A"/>
    <w:rsid w:val="00B72530"/>
    <w:rsid w:val="00B7287B"/>
    <w:rsid w:val="00B73564"/>
    <w:rsid w:val="00B7427D"/>
    <w:rsid w:val="00B754BA"/>
    <w:rsid w:val="00B756BD"/>
    <w:rsid w:val="00B77F19"/>
    <w:rsid w:val="00B81583"/>
    <w:rsid w:val="00B84A8D"/>
    <w:rsid w:val="00B8785C"/>
    <w:rsid w:val="00B9164C"/>
    <w:rsid w:val="00B9414F"/>
    <w:rsid w:val="00B94A99"/>
    <w:rsid w:val="00B953C5"/>
    <w:rsid w:val="00B95D55"/>
    <w:rsid w:val="00B95F25"/>
    <w:rsid w:val="00BA1036"/>
    <w:rsid w:val="00BA1B36"/>
    <w:rsid w:val="00BA1C34"/>
    <w:rsid w:val="00BA209E"/>
    <w:rsid w:val="00BA3495"/>
    <w:rsid w:val="00BA60D2"/>
    <w:rsid w:val="00BA74B3"/>
    <w:rsid w:val="00BB14EE"/>
    <w:rsid w:val="00BB186A"/>
    <w:rsid w:val="00BB4BE5"/>
    <w:rsid w:val="00BB549E"/>
    <w:rsid w:val="00BB6CD0"/>
    <w:rsid w:val="00BB77A6"/>
    <w:rsid w:val="00BC13E5"/>
    <w:rsid w:val="00BC4140"/>
    <w:rsid w:val="00BD5CA9"/>
    <w:rsid w:val="00BD70B2"/>
    <w:rsid w:val="00BD7CFE"/>
    <w:rsid w:val="00BE03DD"/>
    <w:rsid w:val="00BE231C"/>
    <w:rsid w:val="00BE600C"/>
    <w:rsid w:val="00BF09FD"/>
    <w:rsid w:val="00BF0A63"/>
    <w:rsid w:val="00BF2770"/>
    <w:rsid w:val="00BF54BD"/>
    <w:rsid w:val="00BF6098"/>
    <w:rsid w:val="00C00017"/>
    <w:rsid w:val="00C00C1A"/>
    <w:rsid w:val="00C00FEC"/>
    <w:rsid w:val="00C0155C"/>
    <w:rsid w:val="00C0267D"/>
    <w:rsid w:val="00C049A4"/>
    <w:rsid w:val="00C05A73"/>
    <w:rsid w:val="00C05BF8"/>
    <w:rsid w:val="00C07AE8"/>
    <w:rsid w:val="00C104ED"/>
    <w:rsid w:val="00C150CA"/>
    <w:rsid w:val="00C15DAF"/>
    <w:rsid w:val="00C165C6"/>
    <w:rsid w:val="00C216A9"/>
    <w:rsid w:val="00C220EC"/>
    <w:rsid w:val="00C228AC"/>
    <w:rsid w:val="00C24800"/>
    <w:rsid w:val="00C26A08"/>
    <w:rsid w:val="00C31764"/>
    <w:rsid w:val="00C3232C"/>
    <w:rsid w:val="00C32C2C"/>
    <w:rsid w:val="00C32D1A"/>
    <w:rsid w:val="00C36FE5"/>
    <w:rsid w:val="00C41AD4"/>
    <w:rsid w:val="00C43B33"/>
    <w:rsid w:val="00C45318"/>
    <w:rsid w:val="00C45759"/>
    <w:rsid w:val="00C46079"/>
    <w:rsid w:val="00C50051"/>
    <w:rsid w:val="00C5006F"/>
    <w:rsid w:val="00C52800"/>
    <w:rsid w:val="00C52CA7"/>
    <w:rsid w:val="00C53A7B"/>
    <w:rsid w:val="00C556B8"/>
    <w:rsid w:val="00C56636"/>
    <w:rsid w:val="00C57E7B"/>
    <w:rsid w:val="00C60A38"/>
    <w:rsid w:val="00C60EC9"/>
    <w:rsid w:val="00C6245F"/>
    <w:rsid w:val="00C640D7"/>
    <w:rsid w:val="00C67972"/>
    <w:rsid w:val="00C73102"/>
    <w:rsid w:val="00C7439A"/>
    <w:rsid w:val="00C756F0"/>
    <w:rsid w:val="00C76DA7"/>
    <w:rsid w:val="00C779C6"/>
    <w:rsid w:val="00C77C6A"/>
    <w:rsid w:val="00C801E7"/>
    <w:rsid w:val="00C811C0"/>
    <w:rsid w:val="00C8155C"/>
    <w:rsid w:val="00C81934"/>
    <w:rsid w:val="00C8232F"/>
    <w:rsid w:val="00C82D9B"/>
    <w:rsid w:val="00C84DA9"/>
    <w:rsid w:val="00C87EA9"/>
    <w:rsid w:val="00C90B18"/>
    <w:rsid w:val="00C90F50"/>
    <w:rsid w:val="00C9171A"/>
    <w:rsid w:val="00C94D8A"/>
    <w:rsid w:val="00C965CE"/>
    <w:rsid w:val="00C9691C"/>
    <w:rsid w:val="00CA0F01"/>
    <w:rsid w:val="00CA1A12"/>
    <w:rsid w:val="00CA76F6"/>
    <w:rsid w:val="00CB0A23"/>
    <w:rsid w:val="00CB14DA"/>
    <w:rsid w:val="00CB1835"/>
    <w:rsid w:val="00CB2460"/>
    <w:rsid w:val="00CB6B07"/>
    <w:rsid w:val="00CB7D2C"/>
    <w:rsid w:val="00CC0196"/>
    <w:rsid w:val="00CC1EF8"/>
    <w:rsid w:val="00CC5625"/>
    <w:rsid w:val="00CD18E5"/>
    <w:rsid w:val="00CD2EE4"/>
    <w:rsid w:val="00CD5164"/>
    <w:rsid w:val="00CD536A"/>
    <w:rsid w:val="00CD672E"/>
    <w:rsid w:val="00CE0443"/>
    <w:rsid w:val="00CE2B9A"/>
    <w:rsid w:val="00CE3616"/>
    <w:rsid w:val="00CE502F"/>
    <w:rsid w:val="00CE54DF"/>
    <w:rsid w:val="00CF0F09"/>
    <w:rsid w:val="00CF2617"/>
    <w:rsid w:val="00CF4F16"/>
    <w:rsid w:val="00CF60F0"/>
    <w:rsid w:val="00CF6B8F"/>
    <w:rsid w:val="00D00DDA"/>
    <w:rsid w:val="00D02CEF"/>
    <w:rsid w:val="00D02F7B"/>
    <w:rsid w:val="00D03188"/>
    <w:rsid w:val="00D06926"/>
    <w:rsid w:val="00D07E48"/>
    <w:rsid w:val="00D10880"/>
    <w:rsid w:val="00D152A7"/>
    <w:rsid w:val="00D15525"/>
    <w:rsid w:val="00D17216"/>
    <w:rsid w:val="00D17F3B"/>
    <w:rsid w:val="00D25496"/>
    <w:rsid w:val="00D26232"/>
    <w:rsid w:val="00D26460"/>
    <w:rsid w:val="00D30EB9"/>
    <w:rsid w:val="00D345E3"/>
    <w:rsid w:val="00D3527C"/>
    <w:rsid w:val="00D450E2"/>
    <w:rsid w:val="00D461C7"/>
    <w:rsid w:val="00D470ED"/>
    <w:rsid w:val="00D517A1"/>
    <w:rsid w:val="00D53C15"/>
    <w:rsid w:val="00D548AD"/>
    <w:rsid w:val="00D54CD2"/>
    <w:rsid w:val="00D56754"/>
    <w:rsid w:val="00D6234D"/>
    <w:rsid w:val="00D6458C"/>
    <w:rsid w:val="00D65FDE"/>
    <w:rsid w:val="00D66A76"/>
    <w:rsid w:val="00D66CB0"/>
    <w:rsid w:val="00D71516"/>
    <w:rsid w:val="00D7400E"/>
    <w:rsid w:val="00D82998"/>
    <w:rsid w:val="00D84995"/>
    <w:rsid w:val="00D84FD6"/>
    <w:rsid w:val="00D859FE"/>
    <w:rsid w:val="00D864FD"/>
    <w:rsid w:val="00D878E8"/>
    <w:rsid w:val="00D879DF"/>
    <w:rsid w:val="00D91EF2"/>
    <w:rsid w:val="00D93127"/>
    <w:rsid w:val="00D93EBD"/>
    <w:rsid w:val="00D96E62"/>
    <w:rsid w:val="00D97F30"/>
    <w:rsid w:val="00DA0892"/>
    <w:rsid w:val="00DA19A6"/>
    <w:rsid w:val="00DA1C6C"/>
    <w:rsid w:val="00DA3205"/>
    <w:rsid w:val="00DA380C"/>
    <w:rsid w:val="00DA66C7"/>
    <w:rsid w:val="00DA6BD2"/>
    <w:rsid w:val="00DB02DB"/>
    <w:rsid w:val="00DC13E7"/>
    <w:rsid w:val="00DC228F"/>
    <w:rsid w:val="00DC51AC"/>
    <w:rsid w:val="00DC7226"/>
    <w:rsid w:val="00DD1C78"/>
    <w:rsid w:val="00DD392A"/>
    <w:rsid w:val="00DD3F4F"/>
    <w:rsid w:val="00DD734F"/>
    <w:rsid w:val="00DD7D96"/>
    <w:rsid w:val="00DD7FBB"/>
    <w:rsid w:val="00DE00A7"/>
    <w:rsid w:val="00DE1845"/>
    <w:rsid w:val="00DE33D6"/>
    <w:rsid w:val="00DE5064"/>
    <w:rsid w:val="00DE5354"/>
    <w:rsid w:val="00DF0056"/>
    <w:rsid w:val="00DF2697"/>
    <w:rsid w:val="00DF33F1"/>
    <w:rsid w:val="00DF5155"/>
    <w:rsid w:val="00DF5E03"/>
    <w:rsid w:val="00DF5F14"/>
    <w:rsid w:val="00DF6228"/>
    <w:rsid w:val="00E002DB"/>
    <w:rsid w:val="00E01CE9"/>
    <w:rsid w:val="00E02106"/>
    <w:rsid w:val="00E05AE5"/>
    <w:rsid w:val="00E11C95"/>
    <w:rsid w:val="00E17329"/>
    <w:rsid w:val="00E17341"/>
    <w:rsid w:val="00E178D6"/>
    <w:rsid w:val="00E24A79"/>
    <w:rsid w:val="00E24B2B"/>
    <w:rsid w:val="00E26B12"/>
    <w:rsid w:val="00E27986"/>
    <w:rsid w:val="00E3072D"/>
    <w:rsid w:val="00E37B34"/>
    <w:rsid w:val="00E42094"/>
    <w:rsid w:val="00E434F9"/>
    <w:rsid w:val="00E44246"/>
    <w:rsid w:val="00E448B5"/>
    <w:rsid w:val="00E44BDB"/>
    <w:rsid w:val="00E46046"/>
    <w:rsid w:val="00E50C39"/>
    <w:rsid w:val="00E518F2"/>
    <w:rsid w:val="00E5288C"/>
    <w:rsid w:val="00E53A21"/>
    <w:rsid w:val="00E54CDE"/>
    <w:rsid w:val="00E55837"/>
    <w:rsid w:val="00E56A32"/>
    <w:rsid w:val="00E6057C"/>
    <w:rsid w:val="00E6069C"/>
    <w:rsid w:val="00E60720"/>
    <w:rsid w:val="00E62BDC"/>
    <w:rsid w:val="00E63CBC"/>
    <w:rsid w:val="00E66837"/>
    <w:rsid w:val="00E6713C"/>
    <w:rsid w:val="00E70B37"/>
    <w:rsid w:val="00E72066"/>
    <w:rsid w:val="00E72703"/>
    <w:rsid w:val="00E74C58"/>
    <w:rsid w:val="00E76CBA"/>
    <w:rsid w:val="00E77461"/>
    <w:rsid w:val="00E80830"/>
    <w:rsid w:val="00E81EAF"/>
    <w:rsid w:val="00E848EB"/>
    <w:rsid w:val="00E87477"/>
    <w:rsid w:val="00E943C5"/>
    <w:rsid w:val="00EA0DA5"/>
    <w:rsid w:val="00EA1028"/>
    <w:rsid w:val="00EA3B88"/>
    <w:rsid w:val="00EA5785"/>
    <w:rsid w:val="00EA7938"/>
    <w:rsid w:val="00EB0122"/>
    <w:rsid w:val="00EB0471"/>
    <w:rsid w:val="00EB053C"/>
    <w:rsid w:val="00EB489D"/>
    <w:rsid w:val="00EB66AF"/>
    <w:rsid w:val="00EB7918"/>
    <w:rsid w:val="00EC1A0A"/>
    <w:rsid w:val="00EC1FC3"/>
    <w:rsid w:val="00EC2534"/>
    <w:rsid w:val="00EC275C"/>
    <w:rsid w:val="00EC3B51"/>
    <w:rsid w:val="00EC6FFD"/>
    <w:rsid w:val="00ED022C"/>
    <w:rsid w:val="00ED10AD"/>
    <w:rsid w:val="00ED18D1"/>
    <w:rsid w:val="00ED221F"/>
    <w:rsid w:val="00ED3BD1"/>
    <w:rsid w:val="00ED5213"/>
    <w:rsid w:val="00ED5553"/>
    <w:rsid w:val="00ED60F8"/>
    <w:rsid w:val="00ED7043"/>
    <w:rsid w:val="00ED790D"/>
    <w:rsid w:val="00EE5ACD"/>
    <w:rsid w:val="00EF251D"/>
    <w:rsid w:val="00EF4FCB"/>
    <w:rsid w:val="00F022FB"/>
    <w:rsid w:val="00F045BD"/>
    <w:rsid w:val="00F06622"/>
    <w:rsid w:val="00F14083"/>
    <w:rsid w:val="00F20750"/>
    <w:rsid w:val="00F226E0"/>
    <w:rsid w:val="00F227D7"/>
    <w:rsid w:val="00F22EDE"/>
    <w:rsid w:val="00F22F83"/>
    <w:rsid w:val="00F25DA7"/>
    <w:rsid w:val="00F30275"/>
    <w:rsid w:val="00F309D9"/>
    <w:rsid w:val="00F311FC"/>
    <w:rsid w:val="00F319F1"/>
    <w:rsid w:val="00F31B81"/>
    <w:rsid w:val="00F326AB"/>
    <w:rsid w:val="00F3692B"/>
    <w:rsid w:val="00F37B1F"/>
    <w:rsid w:val="00F41EC8"/>
    <w:rsid w:val="00F42045"/>
    <w:rsid w:val="00F42DBE"/>
    <w:rsid w:val="00F44265"/>
    <w:rsid w:val="00F44824"/>
    <w:rsid w:val="00F469CF"/>
    <w:rsid w:val="00F530DF"/>
    <w:rsid w:val="00F60F02"/>
    <w:rsid w:val="00F6244B"/>
    <w:rsid w:val="00F63927"/>
    <w:rsid w:val="00F63E29"/>
    <w:rsid w:val="00F65298"/>
    <w:rsid w:val="00F702AC"/>
    <w:rsid w:val="00F70A03"/>
    <w:rsid w:val="00F70D69"/>
    <w:rsid w:val="00F722F3"/>
    <w:rsid w:val="00F81292"/>
    <w:rsid w:val="00F81E38"/>
    <w:rsid w:val="00F8250D"/>
    <w:rsid w:val="00F84336"/>
    <w:rsid w:val="00F84680"/>
    <w:rsid w:val="00F86C44"/>
    <w:rsid w:val="00F92EDF"/>
    <w:rsid w:val="00F94D20"/>
    <w:rsid w:val="00F950BC"/>
    <w:rsid w:val="00F968D4"/>
    <w:rsid w:val="00F96A07"/>
    <w:rsid w:val="00F97640"/>
    <w:rsid w:val="00FA09BB"/>
    <w:rsid w:val="00FA1EF9"/>
    <w:rsid w:val="00FA5002"/>
    <w:rsid w:val="00FA51E4"/>
    <w:rsid w:val="00FB0405"/>
    <w:rsid w:val="00FB06AF"/>
    <w:rsid w:val="00FB34FA"/>
    <w:rsid w:val="00FB3C1E"/>
    <w:rsid w:val="00FB4434"/>
    <w:rsid w:val="00FC0D58"/>
    <w:rsid w:val="00FC170B"/>
    <w:rsid w:val="00FD065A"/>
    <w:rsid w:val="00FD1A2B"/>
    <w:rsid w:val="00FD428E"/>
    <w:rsid w:val="00FE151B"/>
    <w:rsid w:val="00FF3BC1"/>
    <w:rsid w:val="00FF544A"/>
    <w:rsid w:val="00FF7A2A"/>
    <w:rsid w:val="0953EC2E"/>
    <w:rsid w:val="1FD712E6"/>
    <w:rsid w:val="25589503"/>
    <w:rsid w:val="51E05D4C"/>
    <w:rsid w:val="560FCD6A"/>
    <w:rsid w:val="6995E606"/>
    <w:rsid w:val="6ED0585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B22B6"/>
  <w15:chartTrackingRefBased/>
  <w15:docId w15:val="{7D06A663-044A-4D38-ADF5-2D06FCB18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pt-BR"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EA10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link w:val="Ttulo2Char"/>
    <w:uiPriority w:val="9"/>
    <w:unhideWhenUsed/>
    <w:qFormat/>
    <w:rsid w:val="00E62BDC"/>
    <w:pPr>
      <w:spacing w:before="100" w:beforeAutospacing="1" w:after="100" w:afterAutospacing="1"/>
      <w:jc w:val="left"/>
      <w:outlineLvl w:val="1"/>
    </w:pPr>
    <w:rPr>
      <w:rFonts w:eastAsia="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st">
    <w:name w:val="st"/>
    <w:basedOn w:val="Fontepargpadro"/>
    <w:rsid w:val="000F31D6"/>
  </w:style>
  <w:style w:type="character" w:styleId="nfase">
    <w:name w:val="Emphasis"/>
    <w:basedOn w:val="Fontepargpadro"/>
    <w:uiPriority w:val="20"/>
    <w:qFormat/>
    <w:rsid w:val="000F31D6"/>
    <w:rPr>
      <w:i/>
      <w:iCs/>
    </w:rPr>
  </w:style>
  <w:style w:type="character" w:styleId="Hyperlink">
    <w:name w:val="Hyperlink"/>
    <w:basedOn w:val="Fontepargpadro"/>
    <w:uiPriority w:val="99"/>
    <w:unhideWhenUsed/>
    <w:rsid w:val="00317A94"/>
    <w:rPr>
      <w:color w:val="0000FF"/>
      <w:u w:val="single"/>
    </w:rPr>
  </w:style>
  <w:style w:type="character" w:styleId="Refdecomentrio">
    <w:name w:val="annotation reference"/>
    <w:basedOn w:val="Fontepargpadro"/>
    <w:uiPriority w:val="99"/>
    <w:semiHidden/>
    <w:unhideWhenUsed/>
    <w:rsid w:val="0064799C"/>
    <w:rPr>
      <w:sz w:val="16"/>
      <w:szCs w:val="16"/>
    </w:rPr>
  </w:style>
  <w:style w:type="paragraph" w:styleId="Textodecomentrio">
    <w:name w:val="annotation text"/>
    <w:basedOn w:val="Normal"/>
    <w:link w:val="TextodecomentrioChar"/>
    <w:uiPriority w:val="99"/>
    <w:unhideWhenUsed/>
    <w:qFormat/>
    <w:rsid w:val="0064799C"/>
    <w:rPr>
      <w:sz w:val="20"/>
      <w:szCs w:val="20"/>
    </w:rPr>
  </w:style>
  <w:style w:type="character" w:customStyle="1" w:styleId="TextodecomentrioChar">
    <w:name w:val="Texto de comentário Char"/>
    <w:basedOn w:val="Fontepargpadro"/>
    <w:link w:val="Textodecomentrio"/>
    <w:uiPriority w:val="99"/>
    <w:qFormat/>
    <w:rsid w:val="0064799C"/>
    <w:rPr>
      <w:sz w:val="20"/>
      <w:szCs w:val="20"/>
    </w:rPr>
  </w:style>
  <w:style w:type="paragraph" w:styleId="Assuntodocomentrio">
    <w:name w:val="annotation subject"/>
    <w:basedOn w:val="Textodecomentrio"/>
    <w:next w:val="Textodecomentrio"/>
    <w:link w:val="AssuntodocomentrioChar"/>
    <w:uiPriority w:val="99"/>
    <w:semiHidden/>
    <w:unhideWhenUsed/>
    <w:rsid w:val="0064799C"/>
    <w:rPr>
      <w:b/>
      <w:bCs/>
    </w:rPr>
  </w:style>
  <w:style w:type="character" w:customStyle="1" w:styleId="AssuntodocomentrioChar">
    <w:name w:val="Assunto do comentário Char"/>
    <w:basedOn w:val="TextodecomentrioChar"/>
    <w:link w:val="Assuntodocomentrio"/>
    <w:uiPriority w:val="99"/>
    <w:semiHidden/>
    <w:rsid w:val="0064799C"/>
    <w:rPr>
      <w:b/>
      <w:bCs/>
      <w:sz w:val="20"/>
      <w:szCs w:val="20"/>
    </w:rPr>
  </w:style>
  <w:style w:type="paragraph" w:styleId="Textodebalo">
    <w:name w:val="Balloon Text"/>
    <w:basedOn w:val="Normal"/>
    <w:link w:val="TextodebaloChar"/>
    <w:uiPriority w:val="99"/>
    <w:semiHidden/>
    <w:unhideWhenUsed/>
    <w:rsid w:val="0064799C"/>
    <w:rPr>
      <w:rFonts w:ascii="Segoe UI" w:hAnsi="Segoe UI" w:cs="Segoe UI"/>
      <w:sz w:val="18"/>
      <w:szCs w:val="18"/>
    </w:rPr>
  </w:style>
  <w:style w:type="character" w:customStyle="1" w:styleId="TextodebaloChar">
    <w:name w:val="Texto de balão Char"/>
    <w:basedOn w:val="Fontepargpadro"/>
    <w:link w:val="Textodebalo"/>
    <w:uiPriority w:val="99"/>
    <w:semiHidden/>
    <w:rsid w:val="0064799C"/>
    <w:rPr>
      <w:rFonts w:ascii="Segoe UI" w:hAnsi="Segoe UI" w:cs="Segoe UI"/>
      <w:sz w:val="18"/>
      <w:szCs w:val="18"/>
    </w:rPr>
  </w:style>
  <w:style w:type="paragraph" w:customStyle="1" w:styleId="Referncias">
    <w:name w:val="Referências"/>
    <w:basedOn w:val="Normal"/>
    <w:link w:val="RefernciasChar"/>
    <w:qFormat/>
    <w:rsid w:val="003E1985"/>
    <w:pPr>
      <w:spacing w:line="360" w:lineRule="auto"/>
    </w:pPr>
    <w:rPr>
      <w:rFonts w:ascii="Arial" w:eastAsia="Calibri" w:hAnsi="Arial" w:cs="Arial"/>
      <w:szCs w:val="24"/>
    </w:rPr>
  </w:style>
  <w:style w:type="character" w:customStyle="1" w:styleId="RefernciasChar">
    <w:name w:val="Referências Char"/>
    <w:link w:val="Referncias"/>
    <w:rsid w:val="003E1985"/>
    <w:rPr>
      <w:rFonts w:ascii="Arial" w:eastAsia="Calibri" w:hAnsi="Arial" w:cs="Arial"/>
      <w:szCs w:val="24"/>
    </w:rPr>
  </w:style>
  <w:style w:type="paragraph" w:customStyle="1" w:styleId="Default">
    <w:name w:val="Default"/>
    <w:rsid w:val="009A736C"/>
    <w:pPr>
      <w:autoSpaceDE w:val="0"/>
      <w:autoSpaceDN w:val="0"/>
      <w:adjustRightInd w:val="0"/>
      <w:jc w:val="left"/>
    </w:pPr>
    <w:rPr>
      <w:rFonts w:ascii="Helvetica Condensed" w:hAnsi="Helvetica Condensed" w:cs="Helvetica Condensed"/>
      <w:color w:val="000000"/>
      <w:szCs w:val="24"/>
    </w:rPr>
  </w:style>
  <w:style w:type="character" w:customStyle="1" w:styleId="Ttulo2Char">
    <w:name w:val="Título 2 Char"/>
    <w:basedOn w:val="Fontepargpadro"/>
    <w:link w:val="Ttulo2"/>
    <w:uiPriority w:val="9"/>
    <w:rsid w:val="00E62BDC"/>
    <w:rPr>
      <w:rFonts w:eastAsia="Times New Roman" w:cs="Times New Roman"/>
      <w:b/>
      <w:bCs/>
      <w:sz w:val="36"/>
      <w:szCs w:val="36"/>
      <w:lang w:eastAsia="pt-BR"/>
    </w:rPr>
  </w:style>
  <w:style w:type="paragraph" w:styleId="Textodenotaderodap">
    <w:name w:val="footnote text"/>
    <w:basedOn w:val="Normal"/>
    <w:link w:val="TextodenotaderodapChar"/>
    <w:uiPriority w:val="99"/>
    <w:unhideWhenUsed/>
    <w:qFormat/>
    <w:rsid w:val="00131CEC"/>
    <w:rPr>
      <w:sz w:val="20"/>
      <w:szCs w:val="20"/>
    </w:rPr>
  </w:style>
  <w:style w:type="character" w:customStyle="1" w:styleId="TextodenotaderodapChar">
    <w:name w:val="Texto de nota de rodapé Char"/>
    <w:basedOn w:val="Fontepargpadro"/>
    <w:link w:val="Textodenotaderodap"/>
    <w:uiPriority w:val="99"/>
    <w:rsid w:val="00131CEC"/>
    <w:rPr>
      <w:sz w:val="20"/>
      <w:szCs w:val="20"/>
    </w:rPr>
  </w:style>
  <w:style w:type="character" w:styleId="Refdenotaderodap">
    <w:name w:val="footnote reference"/>
    <w:basedOn w:val="Fontepargpadro"/>
    <w:uiPriority w:val="99"/>
    <w:unhideWhenUsed/>
    <w:qFormat/>
    <w:rsid w:val="00131CEC"/>
    <w:rPr>
      <w:vertAlign w:val="superscript"/>
    </w:rPr>
  </w:style>
  <w:style w:type="character" w:customStyle="1" w:styleId="d2edcug0">
    <w:name w:val="d2edcug0"/>
    <w:basedOn w:val="Fontepargpadro"/>
    <w:rsid w:val="008E32E4"/>
  </w:style>
  <w:style w:type="paragraph" w:styleId="Cabealho">
    <w:name w:val="header"/>
    <w:basedOn w:val="Normal"/>
    <w:link w:val="CabealhoChar"/>
    <w:uiPriority w:val="99"/>
    <w:unhideWhenUsed/>
    <w:rsid w:val="005A6138"/>
    <w:pPr>
      <w:tabs>
        <w:tab w:val="center" w:pos="4252"/>
        <w:tab w:val="right" w:pos="8504"/>
      </w:tabs>
    </w:pPr>
  </w:style>
  <w:style w:type="character" w:customStyle="1" w:styleId="CabealhoChar">
    <w:name w:val="Cabeçalho Char"/>
    <w:basedOn w:val="Fontepargpadro"/>
    <w:link w:val="Cabealho"/>
    <w:uiPriority w:val="99"/>
    <w:rsid w:val="005A6138"/>
  </w:style>
  <w:style w:type="paragraph" w:styleId="Rodap">
    <w:name w:val="footer"/>
    <w:basedOn w:val="Normal"/>
    <w:link w:val="RodapChar"/>
    <w:uiPriority w:val="99"/>
    <w:unhideWhenUsed/>
    <w:rsid w:val="005A6138"/>
    <w:pPr>
      <w:tabs>
        <w:tab w:val="center" w:pos="4252"/>
        <w:tab w:val="right" w:pos="8504"/>
      </w:tabs>
    </w:pPr>
  </w:style>
  <w:style w:type="character" w:customStyle="1" w:styleId="RodapChar">
    <w:name w:val="Rodapé Char"/>
    <w:basedOn w:val="Fontepargpadro"/>
    <w:link w:val="Rodap"/>
    <w:uiPriority w:val="99"/>
    <w:rsid w:val="005A6138"/>
  </w:style>
  <w:style w:type="character" w:customStyle="1" w:styleId="acopre">
    <w:name w:val="acopre"/>
    <w:basedOn w:val="Fontepargpadro"/>
    <w:rsid w:val="00A661E6"/>
  </w:style>
  <w:style w:type="character" w:styleId="MenoPendente">
    <w:name w:val="Unresolved Mention"/>
    <w:basedOn w:val="Fontepargpadro"/>
    <w:uiPriority w:val="99"/>
    <w:semiHidden/>
    <w:unhideWhenUsed/>
    <w:rsid w:val="009D1CB3"/>
    <w:rPr>
      <w:color w:val="605E5C"/>
      <w:shd w:val="clear" w:color="auto" w:fill="E1DFDD"/>
    </w:rPr>
  </w:style>
  <w:style w:type="paragraph" w:styleId="Pr-formataoHTML">
    <w:name w:val="HTML Preformatted"/>
    <w:basedOn w:val="Normal"/>
    <w:link w:val="Pr-formataoHTMLChar"/>
    <w:uiPriority w:val="99"/>
    <w:unhideWhenUsed/>
    <w:qFormat/>
    <w:rsid w:val="002B1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2B1469"/>
    <w:rPr>
      <w:rFonts w:ascii="Courier New" w:eastAsia="Times New Roman" w:hAnsi="Courier New" w:cs="Courier New"/>
      <w:sz w:val="20"/>
      <w:szCs w:val="20"/>
      <w:lang w:eastAsia="pt-BR"/>
    </w:rPr>
  </w:style>
  <w:style w:type="character" w:styleId="Forte">
    <w:name w:val="Strong"/>
    <w:basedOn w:val="Fontepargpadro"/>
    <w:uiPriority w:val="22"/>
    <w:qFormat/>
    <w:rsid w:val="00ED5553"/>
    <w:rPr>
      <w:b/>
      <w:bCs/>
    </w:rPr>
  </w:style>
  <w:style w:type="paragraph" w:customStyle="1" w:styleId="current">
    <w:name w:val="current"/>
    <w:basedOn w:val="Normal"/>
    <w:rsid w:val="002A7090"/>
    <w:pPr>
      <w:spacing w:before="100" w:beforeAutospacing="1" w:after="100" w:afterAutospacing="1"/>
      <w:jc w:val="left"/>
    </w:pPr>
    <w:rPr>
      <w:rFonts w:eastAsia="Times New Roman" w:cs="Times New Roman"/>
      <w:szCs w:val="24"/>
      <w:u w:color="000000"/>
      <w:lang w:eastAsia="pt-BR"/>
    </w:rPr>
  </w:style>
  <w:style w:type="paragraph" w:customStyle="1" w:styleId="Ttulosnonumerados">
    <w:name w:val="Títulos não numerados"/>
    <w:basedOn w:val="Normal"/>
    <w:qFormat/>
    <w:rsid w:val="00C60A38"/>
    <w:pPr>
      <w:jc w:val="center"/>
    </w:pPr>
    <w:rPr>
      <w:b/>
      <w:caps/>
    </w:rPr>
  </w:style>
  <w:style w:type="paragraph" w:customStyle="1" w:styleId="ABNTCorpodetexto">
    <w:name w:val="ABNT Corpo de texto"/>
    <w:basedOn w:val="Normal"/>
    <w:qFormat/>
    <w:rsid w:val="00C60A38"/>
    <w:pPr>
      <w:spacing w:line="360" w:lineRule="auto"/>
      <w:ind w:firstLine="709"/>
    </w:pPr>
  </w:style>
  <w:style w:type="paragraph" w:customStyle="1" w:styleId="ABNTAutores">
    <w:name w:val="ABNT Autores"/>
    <w:basedOn w:val="Normal"/>
    <w:qFormat/>
    <w:rsid w:val="00C60A38"/>
    <w:pPr>
      <w:jc w:val="center"/>
    </w:pPr>
  </w:style>
  <w:style w:type="paragraph" w:customStyle="1" w:styleId="ABNTReferncias">
    <w:name w:val="ABNT Referências"/>
    <w:basedOn w:val="Normal"/>
    <w:qFormat/>
    <w:rsid w:val="00C60A38"/>
    <w:pPr>
      <w:jc w:val="left"/>
    </w:pPr>
  </w:style>
  <w:style w:type="paragraph" w:customStyle="1" w:styleId="ABNTCabealho">
    <w:name w:val="ABNT Cabeçalho"/>
    <w:basedOn w:val="Normal"/>
    <w:qFormat/>
    <w:rsid w:val="00C60A38"/>
    <w:pPr>
      <w:spacing w:line="360" w:lineRule="auto"/>
      <w:jc w:val="center"/>
    </w:pPr>
    <w:rPr>
      <w:b/>
      <w:caps/>
    </w:rPr>
  </w:style>
  <w:style w:type="character" w:customStyle="1" w:styleId="ITLICO">
    <w:name w:val="ITÁLICO"/>
    <w:basedOn w:val="Fontepargpadro"/>
    <w:uiPriority w:val="1"/>
    <w:qFormat/>
    <w:rsid w:val="00951651"/>
    <w:rPr>
      <w:rFonts w:ascii="Times New Roman" w:hAnsi="Times New Roman" w:cs="Times New Roman"/>
      <w:i/>
      <w:sz w:val="24"/>
      <w:szCs w:val="24"/>
    </w:rPr>
  </w:style>
  <w:style w:type="character" w:customStyle="1" w:styleId="ITLICO-nota">
    <w:name w:val="ITÁLICO-nota"/>
    <w:basedOn w:val="Fontepargpadro"/>
    <w:uiPriority w:val="1"/>
    <w:qFormat/>
    <w:rsid w:val="00951651"/>
    <w:rPr>
      <w:i/>
      <w:iCs/>
      <w:lang w:val="es-419"/>
    </w:rPr>
  </w:style>
  <w:style w:type="character" w:customStyle="1" w:styleId="NEGRITO">
    <w:name w:val="NEGRITO"/>
    <w:basedOn w:val="Fontepargpadro"/>
    <w:uiPriority w:val="1"/>
    <w:qFormat/>
    <w:rsid w:val="000158EC"/>
    <w:rPr>
      <w:rFonts w:eastAsia="Malgun Gothic"/>
      <w:b/>
      <w:bCs/>
      <w:lang w:val="es-419"/>
    </w:rPr>
  </w:style>
  <w:style w:type="character" w:customStyle="1" w:styleId="Ttulo1Char">
    <w:name w:val="Título 1 Char"/>
    <w:basedOn w:val="Fontepargpadro"/>
    <w:link w:val="Ttulo1"/>
    <w:uiPriority w:val="9"/>
    <w:rsid w:val="00EA1028"/>
    <w:rPr>
      <w:rFonts w:asciiTheme="majorHAnsi" w:eastAsiaTheme="majorEastAsia" w:hAnsiTheme="majorHAnsi" w:cstheme="majorBidi"/>
      <w:color w:val="2E74B5" w:themeColor="accent1" w:themeShade="BF"/>
      <w:sz w:val="32"/>
      <w:szCs w:val="32"/>
    </w:rPr>
  </w:style>
  <w:style w:type="table" w:styleId="Tabelacomgrade">
    <w:name w:val="Table Grid"/>
    <w:basedOn w:val="Tabelanormal"/>
    <w:uiPriority w:val="39"/>
    <w:rsid w:val="00761D2E"/>
    <w:pPr>
      <w:suppressAutoHyphens/>
      <w:spacing w:after="200" w:line="1" w:lineRule="atLeast"/>
      <w:ind w:leftChars="-1" w:left="-1" w:hangingChars="1" w:hanging="1"/>
      <w:jc w:val="left"/>
      <w:textDirection w:val="btLr"/>
      <w:textAlignment w:val="top"/>
      <w:outlineLvl w:val="0"/>
    </w:pPr>
    <w:rPr>
      <w:rFonts w:ascii="Calibri" w:eastAsia="Calibri" w:hAnsi="Calibri" w:cs="Calibri"/>
      <w:position w:val="-1"/>
      <w:sz w:val="22"/>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761D2E"/>
    <w:pPr>
      <w:pBdr>
        <w:top w:val="nil"/>
        <w:left w:val="nil"/>
        <w:bottom w:val="nil"/>
        <w:right w:val="nil"/>
        <w:between w:val="nil"/>
      </w:pBdr>
      <w:suppressAutoHyphens/>
      <w:spacing w:after="200" w:line="276" w:lineRule="auto"/>
      <w:ind w:leftChars="-1" w:left="720" w:hangingChars="1" w:hanging="1"/>
      <w:contextualSpacing/>
      <w:jc w:val="left"/>
      <w:textDirection w:val="btLr"/>
      <w:textAlignment w:val="top"/>
      <w:outlineLvl w:val="0"/>
    </w:pPr>
    <w:rPr>
      <w:rFonts w:ascii="Calibri" w:eastAsia="Calibri" w:hAnsi="Calibri" w:cs="Calibri"/>
      <w:color w:val="00000A"/>
      <w:position w:val="-1"/>
      <w:sz w:val="22"/>
      <w:lang w:eastAsia="pt-BR"/>
    </w:rPr>
  </w:style>
  <w:style w:type="character" w:customStyle="1" w:styleId="y2iqfc">
    <w:name w:val="y2iqfc"/>
    <w:basedOn w:val="Fontepargpadro"/>
    <w:rsid w:val="00761D2E"/>
  </w:style>
  <w:style w:type="table" w:styleId="SimplesTabela2">
    <w:name w:val="Plain Table 2"/>
    <w:basedOn w:val="Tabelanormal"/>
    <w:uiPriority w:val="42"/>
    <w:rsid w:val="00761D2E"/>
    <w:pPr>
      <w:ind w:hanging="1"/>
      <w:jc w:val="left"/>
    </w:pPr>
    <w:rPr>
      <w:rFonts w:ascii="Calibri" w:eastAsia="Calibri" w:hAnsi="Calibri" w:cs="Calibri"/>
      <w:sz w:val="22"/>
      <w:lang w:eastAsia="pt-B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ykmvie">
    <w:name w:val="ykmvie"/>
    <w:basedOn w:val="Fontepargpadro"/>
    <w:rsid w:val="00761D2E"/>
  </w:style>
  <w:style w:type="character" w:customStyle="1" w:styleId="hgkelc">
    <w:name w:val="hgkelc"/>
    <w:basedOn w:val="Fontepargpadro"/>
    <w:rsid w:val="00761D2E"/>
  </w:style>
  <w:style w:type="paragraph" w:styleId="NormalWeb">
    <w:name w:val="Normal (Web)"/>
    <w:basedOn w:val="Normal"/>
    <w:uiPriority w:val="99"/>
    <w:semiHidden/>
    <w:unhideWhenUsed/>
    <w:rsid w:val="00243910"/>
    <w:pPr>
      <w:spacing w:before="100" w:beforeAutospacing="1" w:after="100" w:afterAutospacing="1"/>
      <w:jc w:val="left"/>
    </w:pPr>
    <w:rPr>
      <w:rFonts w:eastAsia="Times New Roman" w:cs="Times New Roman"/>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30050">
      <w:bodyDiv w:val="1"/>
      <w:marLeft w:val="0"/>
      <w:marRight w:val="0"/>
      <w:marTop w:val="0"/>
      <w:marBottom w:val="0"/>
      <w:divBdr>
        <w:top w:val="none" w:sz="0" w:space="0" w:color="auto"/>
        <w:left w:val="none" w:sz="0" w:space="0" w:color="auto"/>
        <w:bottom w:val="none" w:sz="0" w:space="0" w:color="auto"/>
        <w:right w:val="none" w:sz="0" w:space="0" w:color="auto"/>
      </w:divBdr>
      <w:divsChild>
        <w:div w:id="972979370">
          <w:marLeft w:val="0"/>
          <w:marRight w:val="0"/>
          <w:marTop w:val="0"/>
          <w:marBottom w:val="0"/>
          <w:divBdr>
            <w:top w:val="none" w:sz="0" w:space="0" w:color="auto"/>
            <w:left w:val="none" w:sz="0" w:space="0" w:color="auto"/>
            <w:bottom w:val="none" w:sz="0" w:space="0" w:color="auto"/>
            <w:right w:val="none" w:sz="0" w:space="0" w:color="auto"/>
          </w:divBdr>
          <w:divsChild>
            <w:div w:id="1328746601">
              <w:marLeft w:val="0"/>
              <w:marRight w:val="0"/>
              <w:marTop w:val="0"/>
              <w:marBottom w:val="0"/>
              <w:divBdr>
                <w:top w:val="none" w:sz="0" w:space="0" w:color="auto"/>
                <w:left w:val="none" w:sz="0" w:space="0" w:color="auto"/>
                <w:bottom w:val="none" w:sz="0" w:space="0" w:color="auto"/>
                <w:right w:val="none" w:sz="0" w:space="0" w:color="auto"/>
              </w:divBdr>
            </w:div>
            <w:div w:id="381366113">
              <w:marLeft w:val="0"/>
              <w:marRight w:val="0"/>
              <w:marTop w:val="0"/>
              <w:marBottom w:val="0"/>
              <w:divBdr>
                <w:top w:val="none" w:sz="0" w:space="0" w:color="auto"/>
                <w:left w:val="none" w:sz="0" w:space="0" w:color="auto"/>
                <w:bottom w:val="none" w:sz="0" w:space="0" w:color="auto"/>
                <w:right w:val="none" w:sz="0" w:space="0" w:color="auto"/>
              </w:divBdr>
            </w:div>
          </w:divsChild>
        </w:div>
        <w:div w:id="1508983468">
          <w:marLeft w:val="0"/>
          <w:marRight w:val="0"/>
          <w:marTop w:val="0"/>
          <w:marBottom w:val="0"/>
          <w:divBdr>
            <w:top w:val="none" w:sz="0" w:space="0" w:color="auto"/>
            <w:left w:val="none" w:sz="0" w:space="0" w:color="auto"/>
            <w:bottom w:val="none" w:sz="0" w:space="0" w:color="auto"/>
            <w:right w:val="none" w:sz="0" w:space="0" w:color="auto"/>
          </w:divBdr>
          <w:divsChild>
            <w:div w:id="1080715150">
              <w:marLeft w:val="0"/>
              <w:marRight w:val="0"/>
              <w:marTop w:val="0"/>
              <w:marBottom w:val="0"/>
              <w:divBdr>
                <w:top w:val="none" w:sz="0" w:space="0" w:color="auto"/>
                <w:left w:val="none" w:sz="0" w:space="0" w:color="auto"/>
                <w:bottom w:val="none" w:sz="0" w:space="0" w:color="auto"/>
                <w:right w:val="none" w:sz="0" w:space="0" w:color="auto"/>
              </w:divBdr>
            </w:div>
          </w:divsChild>
        </w:div>
        <w:div w:id="228343109">
          <w:marLeft w:val="0"/>
          <w:marRight w:val="0"/>
          <w:marTop w:val="0"/>
          <w:marBottom w:val="0"/>
          <w:divBdr>
            <w:top w:val="none" w:sz="0" w:space="0" w:color="auto"/>
            <w:left w:val="none" w:sz="0" w:space="0" w:color="auto"/>
            <w:bottom w:val="none" w:sz="0" w:space="0" w:color="auto"/>
            <w:right w:val="none" w:sz="0" w:space="0" w:color="auto"/>
          </w:divBdr>
          <w:divsChild>
            <w:div w:id="1834837145">
              <w:marLeft w:val="0"/>
              <w:marRight w:val="0"/>
              <w:marTop w:val="0"/>
              <w:marBottom w:val="0"/>
              <w:divBdr>
                <w:top w:val="none" w:sz="0" w:space="0" w:color="auto"/>
                <w:left w:val="none" w:sz="0" w:space="0" w:color="auto"/>
                <w:bottom w:val="none" w:sz="0" w:space="0" w:color="auto"/>
                <w:right w:val="none" w:sz="0" w:space="0" w:color="auto"/>
              </w:divBdr>
            </w:div>
            <w:div w:id="1638756217">
              <w:marLeft w:val="0"/>
              <w:marRight w:val="0"/>
              <w:marTop w:val="0"/>
              <w:marBottom w:val="0"/>
              <w:divBdr>
                <w:top w:val="none" w:sz="0" w:space="0" w:color="auto"/>
                <w:left w:val="none" w:sz="0" w:space="0" w:color="auto"/>
                <w:bottom w:val="none" w:sz="0" w:space="0" w:color="auto"/>
                <w:right w:val="none" w:sz="0" w:space="0" w:color="auto"/>
              </w:divBdr>
            </w:div>
          </w:divsChild>
        </w:div>
        <w:div w:id="1714957551">
          <w:marLeft w:val="0"/>
          <w:marRight w:val="0"/>
          <w:marTop w:val="0"/>
          <w:marBottom w:val="0"/>
          <w:divBdr>
            <w:top w:val="none" w:sz="0" w:space="0" w:color="auto"/>
            <w:left w:val="none" w:sz="0" w:space="0" w:color="auto"/>
            <w:bottom w:val="none" w:sz="0" w:space="0" w:color="auto"/>
            <w:right w:val="none" w:sz="0" w:space="0" w:color="auto"/>
          </w:divBdr>
          <w:divsChild>
            <w:div w:id="609238578">
              <w:marLeft w:val="0"/>
              <w:marRight w:val="0"/>
              <w:marTop w:val="0"/>
              <w:marBottom w:val="0"/>
              <w:divBdr>
                <w:top w:val="none" w:sz="0" w:space="0" w:color="auto"/>
                <w:left w:val="none" w:sz="0" w:space="0" w:color="auto"/>
                <w:bottom w:val="none" w:sz="0" w:space="0" w:color="auto"/>
                <w:right w:val="none" w:sz="0" w:space="0" w:color="auto"/>
              </w:divBdr>
            </w:div>
            <w:div w:id="640354167">
              <w:marLeft w:val="0"/>
              <w:marRight w:val="0"/>
              <w:marTop w:val="0"/>
              <w:marBottom w:val="0"/>
              <w:divBdr>
                <w:top w:val="none" w:sz="0" w:space="0" w:color="auto"/>
                <w:left w:val="none" w:sz="0" w:space="0" w:color="auto"/>
                <w:bottom w:val="none" w:sz="0" w:space="0" w:color="auto"/>
                <w:right w:val="none" w:sz="0" w:space="0" w:color="auto"/>
              </w:divBdr>
            </w:div>
          </w:divsChild>
        </w:div>
        <w:div w:id="869956890">
          <w:marLeft w:val="0"/>
          <w:marRight w:val="0"/>
          <w:marTop w:val="0"/>
          <w:marBottom w:val="0"/>
          <w:divBdr>
            <w:top w:val="none" w:sz="0" w:space="0" w:color="auto"/>
            <w:left w:val="none" w:sz="0" w:space="0" w:color="auto"/>
            <w:bottom w:val="none" w:sz="0" w:space="0" w:color="auto"/>
            <w:right w:val="none" w:sz="0" w:space="0" w:color="auto"/>
          </w:divBdr>
          <w:divsChild>
            <w:div w:id="150821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50213">
      <w:bodyDiv w:val="1"/>
      <w:marLeft w:val="0"/>
      <w:marRight w:val="0"/>
      <w:marTop w:val="0"/>
      <w:marBottom w:val="0"/>
      <w:divBdr>
        <w:top w:val="none" w:sz="0" w:space="0" w:color="auto"/>
        <w:left w:val="none" w:sz="0" w:space="0" w:color="auto"/>
        <w:bottom w:val="none" w:sz="0" w:space="0" w:color="auto"/>
        <w:right w:val="none" w:sz="0" w:space="0" w:color="auto"/>
      </w:divBdr>
    </w:div>
    <w:div w:id="264390533">
      <w:bodyDiv w:val="1"/>
      <w:marLeft w:val="0"/>
      <w:marRight w:val="0"/>
      <w:marTop w:val="0"/>
      <w:marBottom w:val="0"/>
      <w:divBdr>
        <w:top w:val="none" w:sz="0" w:space="0" w:color="auto"/>
        <w:left w:val="none" w:sz="0" w:space="0" w:color="auto"/>
        <w:bottom w:val="none" w:sz="0" w:space="0" w:color="auto"/>
        <w:right w:val="none" w:sz="0" w:space="0" w:color="auto"/>
      </w:divBdr>
      <w:divsChild>
        <w:div w:id="671220533">
          <w:marLeft w:val="0"/>
          <w:marRight w:val="0"/>
          <w:marTop w:val="0"/>
          <w:marBottom w:val="0"/>
          <w:divBdr>
            <w:top w:val="none" w:sz="0" w:space="0" w:color="auto"/>
            <w:left w:val="none" w:sz="0" w:space="0" w:color="auto"/>
            <w:bottom w:val="none" w:sz="0" w:space="0" w:color="auto"/>
            <w:right w:val="none" w:sz="0" w:space="0" w:color="auto"/>
          </w:divBdr>
        </w:div>
      </w:divsChild>
    </w:div>
    <w:div w:id="279264276">
      <w:bodyDiv w:val="1"/>
      <w:marLeft w:val="0"/>
      <w:marRight w:val="0"/>
      <w:marTop w:val="0"/>
      <w:marBottom w:val="0"/>
      <w:divBdr>
        <w:top w:val="none" w:sz="0" w:space="0" w:color="auto"/>
        <w:left w:val="none" w:sz="0" w:space="0" w:color="auto"/>
        <w:bottom w:val="none" w:sz="0" w:space="0" w:color="auto"/>
        <w:right w:val="none" w:sz="0" w:space="0" w:color="auto"/>
      </w:divBdr>
      <w:divsChild>
        <w:div w:id="1295333964">
          <w:marLeft w:val="0"/>
          <w:marRight w:val="0"/>
          <w:marTop w:val="0"/>
          <w:marBottom w:val="0"/>
          <w:divBdr>
            <w:top w:val="none" w:sz="0" w:space="0" w:color="auto"/>
            <w:left w:val="none" w:sz="0" w:space="0" w:color="auto"/>
            <w:bottom w:val="none" w:sz="0" w:space="0" w:color="auto"/>
            <w:right w:val="none" w:sz="0" w:space="0" w:color="auto"/>
          </w:divBdr>
        </w:div>
        <w:div w:id="296687676">
          <w:marLeft w:val="0"/>
          <w:marRight w:val="0"/>
          <w:marTop w:val="0"/>
          <w:marBottom w:val="0"/>
          <w:divBdr>
            <w:top w:val="none" w:sz="0" w:space="0" w:color="auto"/>
            <w:left w:val="none" w:sz="0" w:space="0" w:color="auto"/>
            <w:bottom w:val="none" w:sz="0" w:space="0" w:color="auto"/>
            <w:right w:val="none" w:sz="0" w:space="0" w:color="auto"/>
          </w:divBdr>
        </w:div>
        <w:div w:id="960501456">
          <w:marLeft w:val="0"/>
          <w:marRight w:val="0"/>
          <w:marTop w:val="0"/>
          <w:marBottom w:val="0"/>
          <w:divBdr>
            <w:top w:val="none" w:sz="0" w:space="0" w:color="auto"/>
            <w:left w:val="none" w:sz="0" w:space="0" w:color="auto"/>
            <w:bottom w:val="none" w:sz="0" w:space="0" w:color="auto"/>
            <w:right w:val="none" w:sz="0" w:space="0" w:color="auto"/>
          </w:divBdr>
        </w:div>
        <w:div w:id="1127311211">
          <w:marLeft w:val="0"/>
          <w:marRight w:val="0"/>
          <w:marTop w:val="0"/>
          <w:marBottom w:val="0"/>
          <w:divBdr>
            <w:top w:val="none" w:sz="0" w:space="0" w:color="auto"/>
            <w:left w:val="none" w:sz="0" w:space="0" w:color="auto"/>
            <w:bottom w:val="none" w:sz="0" w:space="0" w:color="auto"/>
            <w:right w:val="none" w:sz="0" w:space="0" w:color="auto"/>
          </w:divBdr>
        </w:div>
      </w:divsChild>
    </w:div>
    <w:div w:id="492112079">
      <w:bodyDiv w:val="1"/>
      <w:marLeft w:val="0"/>
      <w:marRight w:val="0"/>
      <w:marTop w:val="0"/>
      <w:marBottom w:val="0"/>
      <w:divBdr>
        <w:top w:val="none" w:sz="0" w:space="0" w:color="auto"/>
        <w:left w:val="none" w:sz="0" w:space="0" w:color="auto"/>
        <w:bottom w:val="none" w:sz="0" w:space="0" w:color="auto"/>
        <w:right w:val="none" w:sz="0" w:space="0" w:color="auto"/>
      </w:divBdr>
    </w:div>
    <w:div w:id="694572683">
      <w:bodyDiv w:val="1"/>
      <w:marLeft w:val="0"/>
      <w:marRight w:val="0"/>
      <w:marTop w:val="0"/>
      <w:marBottom w:val="0"/>
      <w:divBdr>
        <w:top w:val="none" w:sz="0" w:space="0" w:color="auto"/>
        <w:left w:val="none" w:sz="0" w:space="0" w:color="auto"/>
        <w:bottom w:val="none" w:sz="0" w:space="0" w:color="auto"/>
        <w:right w:val="none" w:sz="0" w:space="0" w:color="auto"/>
      </w:divBdr>
    </w:div>
    <w:div w:id="716055084">
      <w:bodyDiv w:val="1"/>
      <w:marLeft w:val="0"/>
      <w:marRight w:val="0"/>
      <w:marTop w:val="0"/>
      <w:marBottom w:val="0"/>
      <w:divBdr>
        <w:top w:val="none" w:sz="0" w:space="0" w:color="auto"/>
        <w:left w:val="none" w:sz="0" w:space="0" w:color="auto"/>
        <w:bottom w:val="none" w:sz="0" w:space="0" w:color="auto"/>
        <w:right w:val="none" w:sz="0" w:space="0" w:color="auto"/>
      </w:divBdr>
    </w:div>
    <w:div w:id="721290241">
      <w:bodyDiv w:val="1"/>
      <w:marLeft w:val="0"/>
      <w:marRight w:val="0"/>
      <w:marTop w:val="0"/>
      <w:marBottom w:val="0"/>
      <w:divBdr>
        <w:top w:val="none" w:sz="0" w:space="0" w:color="auto"/>
        <w:left w:val="none" w:sz="0" w:space="0" w:color="auto"/>
        <w:bottom w:val="none" w:sz="0" w:space="0" w:color="auto"/>
        <w:right w:val="none" w:sz="0" w:space="0" w:color="auto"/>
      </w:divBdr>
      <w:divsChild>
        <w:div w:id="92172610">
          <w:marLeft w:val="0"/>
          <w:marRight w:val="0"/>
          <w:marTop w:val="0"/>
          <w:marBottom w:val="0"/>
          <w:divBdr>
            <w:top w:val="none" w:sz="0" w:space="0" w:color="auto"/>
            <w:left w:val="none" w:sz="0" w:space="0" w:color="auto"/>
            <w:bottom w:val="none" w:sz="0" w:space="0" w:color="auto"/>
            <w:right w:val="none" w:sz="0" w:space="0" w:color="auto"/>
          </w:divBdr>
        </w:div>
      </w:divsChild>
    </w:div>
    <w:div w:id="881015339">
      <w:bodyDiv w:val="1"/>
      <w:marLeft w:val="0"/>
      <w:marRight w:val="0"/>
      <w:marTop w:val="0"/>
      <w:marBottom w:val="0"/>
      <w:divBdr>
        <w:top w:val="none" w:sz="0" w:space="0" w:color="auto"/>
        <w:left w:val="none" w:sz="0" w:space="0" w:color="auto"/>
        <w:bottom w:val="none" w:sz="0" w:space="0" w:color="auto"/>
        <w:right w:val="none" w:sz="0" w:space="0" w:color="auto"/>
      </w:divBdr>
      <w:divsChild>
        <w:div w:id="1908108230">
          <w:marLeft w:val="0"/>
          <w:marRight w:val="0"/>
          <w:marTop w:val="0"/>
          <w:marBottom w:val="0"/>
          <w:divBdr>
            <w:top w:val="none" w:sz="0" w:space="0" w:color="auto"/>
            <w:left w:val="none" w:sz="0" w:space="0" w:color="auto"/>
            <w:bottom w:val="none" w:sz="0" w:space="0" w:color="auto"/>
            <w:right w:val="none" w:sz="0" w:space="0" w:color="auto"/>
          </w:divBdr>
          <w:divsChild>
            <w:div w:id="1697805029">
              <w:marLeft w:val="0"/>
              <w:marRight w:val="0"/>
              <w:marTop w:val="0"/>
              <w:marBottom w:val="0"/>
              <w:divBdr>
                <w:top w:val="none" w:sz="0" w:space="0" w:color="auto"/>
                <w:left w:val="none" w:sz="0" w:space="0" w:color="auto"/>
                <w:bottom w:val="none" w:sz="0" w:space="0" w:color="auto"/>
                <w:right w:val="none" w:sz="0" w:space="0" w:color="auto"/>
              </w:divBdr>
              <w:divsChild>
                <w:div w:id="1142313479">
                  <w:marLeft w:val="0"/>
                  <w:marRight w:val="0"/>
                  <w:marTop w:val="0"/>
                  <w:marBottom w:val="0"/>
                  <w:divBdr>
                    <w:top w:val="none" w:sz="0" w:space="0" w:color="auto"/>
                    <w:left w:val="none" w:sz="0" w:space="0" w:color="auto"/>
                    <w:bottom w:val="none" w:sz="0" w:space="0" w:color="auto"/>
                    <w:right w:val="none" w:sz="0" w:space="0" w:color="auto"/>
                  </w:divBdr>
                  <w:divsChild>
                    <w:div w:id="559443327">
                      <w:marLeft w:val="0"/>
                      <w:marRight w:val="0"/>
                      <w:marTop w:val="0"/>
                      <w:marBottom w:val="0"/>
                      <w:divBdr>
                        <w:top w:val="none" w:sz="0" w:space="0" w:color="auto"/>
                        <w:left w:val="none" w:sz="0" w:space="0" w:color="auto"/>
                        <w:bottom w:val="none" w:sz="0" w:space="0" w:color="auto"/>
                        <w:right w:val="none" w:sz="0" w:space="0" w:color="auto"/>
                      </w:divBdr>
                      <w:divsChild>
                        <w:div w:id="271591454">
                          <w:marLeft w:val="0"/>
                          <w:marRight w:val="0"/>
                          <w:marTop w:val="0"/>
                          <w:marBottom w:val="0"/>
                          <w:divBdr>
                            <w:top w:val="none" w:sz="0" w:space="0" w:color="auto"/>
                            <w:left w:val="none" w:sz="0" w:space="0" w:color="auto"/>
                            <w:bottom w:val="none" w:sz="0" w:space="0" w:color="auto"/>
                            <w:right w:val="none" w:sz="0" w:space="0" w:color="auto"/>
                          </w:divBdr>
                          <w:divsChild>
                            <w:div w:id="1796605306">
                              <w:marLeft w:val="0"/>
                              <w:marRight w:val="0"/>
                              <w:marTop w:val="0"/>
                              <w:marBottom w:val="0"/>
                              <w:divBdr>
                                <w:top w:val="none" w:sz="0" w:space="0" w:color="auto"/>
                                <w:left w:val="none" w:sz="0" w:space="0" w:color="auto"/>
                                <w:bottom w:val="none" w:sz="0" w:space="0" w:color="auto"/>
                                <w:right w:val="none" w:sz="0" w:space="0" w:color="auto"/>
                              </w:divBdr>
                              <w:divsChild>
                                <w:div w:id="116539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2856409">
      <w:bodyDiv w:val="1"/>
      <w:marLeft w:val="0"/>
      <w:marRight w:val="0"/>
      <w:marTop w:val="0"/>
      <w:marBottom w:val="0"/>
      <w:divBdr>
        <w:top w:val="none" w:sz="0" w:space="0" w:color="auto"/>
        <w:left w:val="none" w:sz="0" w:space="0" w:color="auto"/>
        <w:bottom w:val="none" w:sz="0" w:space="0" w:color="auto"/>
        <w:right w:val="none" w:sz="0" w:space="0" w:color="auto"/>
      </w:divBdr>
    </w:div>
    <w:div w:id="1751268164">
      <w:bodyDiv w:val="1"/>
      <w:marLeft w:val="0"/>
      <w:marRight w:val="0"/>
      <w:marTop w:val="0"/>
      <w:marBottom w:val="0"/>
      <w:divBdr>
        <w:top w:val="none" w:sz="0" w:space="0" w:color="auto"/>
        <w:left w:val="none" w:sz="0" w:space="0" w:color="auto"/>
        <w:bottom w:val="none" w:sz="0" w:space="0" w:color="auto"/>
        <w:right w:val="none" w:sz="0" w:space="0" w:color="auto"/>
      </w:divBdr>
      <w:divsChild>
        <w:div w:id="1934508506">
          <w:marLeft w:val="0"/>
          <w:marRight w:val="0"/>
          <w:marTop w:val="0"/>
          <w:marBottom w:val="0"/>
          <w:divBdr>
            <w:top w:val="none" w:sz="0" w:space="0" w:color="auto"/>
            <w:left w:val="none" w:sz="0" w:space="0" w:color="auto"/>
            <w:bottom w:val="none" w:sz="0" w:space="0" w:color="auto"/>
            <w:right w:val="none" w:sz="0" w:space="0" w:color="auto"/>
          </w:divBdr>
          <w:divsChild>
            <w:div w:id="913205524">
              <w:marLeft w:val="0"/>
              <w:marRight w:val="0"/>
              <w:marTop w:val="0"/>
              <w:marBottom w:val="0"/>
              <w:divBdr>
                <w:top w:val="none" w:sz="0" w:space="0" w:color="auto"/>
                <w:left w:val="none" w:sz="0" w:space="0" w:color="auto"/>
                <w:bottom w:val="none" w:sz="0" w:space="0" w:color="auto"/>
                <w:right w:val="none" w:sz="0" w:space="0" w:color="auto"/>
              </w:divBdr>
            </w:div>
            <w:div w:id="1252812650">
              <w:marLeft w:val="0"/>
              <w:marRight w:val="0"/>
              <w:marTop w:val="0"/>
              <w:marBottom w:val="0"/>
              <w:divBdr>
                <w:top w:val="none" w:sz="0" w:space="0" w:color="auto"/>
                <w:left w:val="none" w:sz="0" w:space="0" w:color="auto"/>
                <w:bottom w:val="none" w:sz="0" w:space="0" w:color="auto"/>
                <w:right w:val="none" w:sz="0" w:space="0" w:color="auto"/>
              </w:divBdr>
            </w:div>
          </w:divsChild>
        </w:div>
        <w:div w:id="41364459">
          <w:marLeft w:val="0"/>
          <w:marRight w:val="0"/>
          <w:marTop w:val="0"/>
          <w:marBottom w:val="0"/>
          <w:divBdr>
            <w:top w:val="none" w:sz="0" w:space="0" w:color="auto"/>
            <w:left w:val="none" w:sz="0" w:space="0" w:color="auto"/>
            <w:bottom w:val="none" w:sz="0" w:space="0" w:color="auto"/>
            <w:right w:val="none" w:sz="0" w:space="0" w:color="auto"/>
          </w:divBdr>
          <w:divsChild>
            <w:div w:id="1513303563">
              <w:marLeft w:val="0"/>
              <w:marRight w:val="0"/>
              <w:marTop w:val="0"/>
              <w:marBottom w:val="0"/>
              <w:divBdr>
                <w:top w:val="none" w:sz="0" w:space="0" w:color="auto"/>
                <w:left w:val="none" w:sz="0" w:space="0" w:color="auto"/>
                <w:bottom w:val="none" w:sz="0" w:space="0" w:color="auto"/>
                <w:right w:val="none" w:sz="0" w:space="0" w:color="auto"/>
              </w:divBdr>
            </w:div>
          </w:divsChild>
        </w:div>
        <w:div w:id="567347633">
          <w:marLeft w:val="0"/>
          <w:marRight w:val="0"/>
          <w:marTop w:val="0"/>
          <w:marBottom w:val="0"/>
          <w:divBdr>
            <w:top w:val="none" w:sz="0" w:space="0" w:color="auto"/>
            <w:left w:val="none" w:sz="0" w:space="0" w:color="auto"/>
            <w:bottom w:val="none" w:sz="0" w:space="0" w:color="auto"/>
            <w:right w:val="none" w:sz="0" w:space="0" w:color="auto"/>
          </w:divBdr>
          <w:divsChild>
            <w:div w:id="2034723627">
              <w:marLeft w:val="0"/>
              <w:marRight w:val="0"/>
              <w:marTop w:val="0"/>
              <w:marBottom w:val="0"/>
              <w:divBdr>
                <w:top w:val="none" w:sz="0" w:space="0" w:color="auto"/>
                <w:left w:val="none" w:sz="0" w:space="0" w:color="auto"/>
                <w:bottom w:val="none" w:sz="0" w:space="0" w:color="auto"/>
                <w:right w:val="none" w:sz="0" w:space="0" w:color="auto"/>
              </w:divBdr>
            </w:div>
            <w:div w:id="133260042">
              <w:marLeft w:val="0"/>
              <w:marRight w:val="0"/>
              <w:marTop w:val="0"/>
              <w:marBottom w:val="0"/>
              <w:divBdr>
                <w:top w:val="none" w:sz="0" w:space="0" w:color="auto"/>
                <w:left w:val="none" w:sz="0" w:space="0" w:color="auto"/>
                <w:bottom w:val="none" w:sz="0" w:space="0" w:color="auto"/>
                <w:right w:val="none" w:sz="0" w:space="0" w:color="auto"/>
              </w:divBdr>
            </w:div>
          </w:divsChild>
        </w:div>
        <w:div w:id="1560942286">
          <w:marLeft w:val="0"/>
          <w:marRight w:val="0"/>
          <w:marTop w:val="0"/>
          <w:marBottom w:val="0"/>
          <w:divBdr>
            <w:top w:val="none" w:sz="0" w:space="0" w:color="auto"/>
            <w:left w:val="none" w:sz="0" w:space="0" w:color="auto"/>
            <w:bottom w:val="none" w:sz="0" w:space="0" w:color="auto"/>
            <w:right w:val="none" w:sz="0" w:space="0" w:color="auto"/>
          </w:divBdr>
          <w:divsChild>
            <w:div w:id="1202552451">
              <w:marLeft w:val="0"/>
              <w:marRight w:val="0"/>
              <w:marTop w:val="0"/>
              <w:marBottom w:val="0"/>
              <w:divBdr>
                <w:top w:val="none" w:sz="0" w:space="0" w:color="auto"/>
                <w:left w:val="none" w:sz="0" w:space="0" w:color="auto"/>
                <w:bottom w:val="none" w:sz="0" w:space="0" w:color="auto"/>
                <w:right w:val="none" w:sz="0" w:space="0" w:color="auto"/>
              </w:divBdr>
            </w:div>
            <w:div w:id="55200926">
              <w:marLeft w:val="0"/>
              <w:marRight w:val="0"/>
              <w:marTop w:val="0"/>
              <w:marBottom w:val="0"/>
              <w:divBdr>
                <w:top w:val="none" w:sz="0" w:space="0" w:color="auto"/>
                <w:left w:val="none" w:sz="0" w:space="0" w:color="auto"/>
                <w:bottom w:val="none" w:sz="0" w:space="0" w:color="auto"/>
                <w:right w:val="none" w:sz="0" w:space="0" w:color="auto"/>
              </w:divBdr>
            </w:div>
          </w:divsChild>
        </w:div>
        <w:div w:id="1054768520">
          <w:marLeft w:val="0"/>
          <w:marRight w:val="0"/>
          <w:marTop w:val="0"/>
          <w:marBottom w:val="0"/>
          <w:divBdr>
            <w:top w:val="none" w:sz="0" w:space="0" w:color="auto"/>
            <w:left w:val="none" w:sz="0" w:space="0" w:color="auto"/>
            <w:bottom w:val="none" w:sz="0" w:space="0" w:color="auto"/>
            <w:right w:val="none" w:sz="0" w:space="0" w:color="auto"/>
          </w:divBdr>
          <w:divsChild>
            <w:div w:id="152281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607098">
      <w:bodyDiv w:val="1"/>
      <w:marLeft w:val="0"/>
      <w:marRight w:val="0"/>
      <w:marTop w:val="0"/>
      <w:marBottom w:val="0"/>
      <w:divBdr>
        <w:top w:val="none" w:sz="0" w:space="0" w:color="auto"/>
        <w:left w:val="none" w:sz="0" w:space="0" w:color="auto"/>
        <w:bottom w:val="none" w:sz="0" w:space="0" w:color="auto"/>
        <w:right w:val="none" w:sz="0" w:space="0" w:color="auto"/>
      </w:divBdr>
      <w:divsChild>
        <w:div w:id="1994138502">
          <w:blockQuote w:val="1"/>
          <w:marLeft w:val="450"/>
          <w:marRight w:val="450"/>
          <w:marTop w:val="450"/>
          <w:marBottom w:val="450"/>
          <w:divBdr>
            <w:top w:val="none" w:sz="0" w:space="0" w:color="auto"/>
            <w:left w:val="single" w:sz="36" w:space="14" w:color="C8CCD1"/>
            <w:bottom w:val="none" w:sz="0" w:space="0" w:color="auto"/>
            <w:right w:val="none" w:sz="0" w:space="0" w:color="auto"/>
          </w:divBdr>
          <w:divsChild>
            <w:div w:id="51585760">
              <w:marLeft w:val="0"/>
              <w:marRight w:val="0"/>
              <w:marTop w:val="150"/>
              <w:marBottom w:val="0"/>
              <w:divBdr>
                <w:top w:val="none" w:sz="0" w:space="0" w:color="auto"/>
                <w:left w:val="none" w:sz="0" w:space="0" w:color="auto"/>
                <w:bottom w:val="none" w:sz="0" w:space="0" w:color="auto"/>
                <w:right w:val="none" w:sz="0" w:space="0" w:color="auto"/>
              </w:divBdr>
            </w:div>
            <w:div w:id="91281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732054">
      <w:bodyDiv w:val="1"/>
      <w:marLeft w:val="0"/>
      <w:marRight w:val="0"/>
      <w:marTop w:val="0"/>
      <w:marBottom w:val="0"/>
      <w:divBdr>
        <w:top w:val="none" w:sz="0" w:space="0" w:color="auto"/>
        <w:left w:val="none" w:sz="0" w:space="0" w:color="auto"/>
        <w:bottom w:val="none" w:sz="0" w:space="0" w:color="auto"/>
        <w:right w:val="none" w:sz="0" w:space="0" w:color="auto"/>
      </w:divBdr>
    </w:div>
    <w:div w:id="1927301507">
      <w:bodyDiv w:val="1"/>
      <w:marLeft w:val="0"/>
      <w:marRight w:val="0"/>
      <w:marTop w:val="0"/>
      <w:marBottom w:val="0"/>
      <w:divBdr>
        <w:top w:val="none" w:sz="0" w:space="0" w:color="auto"/>
        <w:left w:val="none" w:sz="0" w:space="0" w:color="auto"/>
        <w:bottom w:val="none" w:sz="0" w:space="0" w:color="auto"/>
        <w:right w:val="none" w:sz="0" w:space="0" w:color="auto"/>
      </w:divBdr>
      <w:divsChild>
        <w:div w:id="1162962574">
          <w:marLeft w:val="0"/>
          <w:marRight w:val="0"/>
          <w:marTop w:val="0"/>
          <w:marBottom w:val="0"/>
          <w:divBdr>
            <w:top w:val="none" w:sz="0" w:space="0" w:color="auto"/>
            <w:left w:val="none" w:sz="0" w:space="0" w:color="auto"/>
            <w:bottom w:val="none" w:sz="0" w:space="0" w:color="auto"/>
            <w:right w:val="none" w:sz="0" w:space="0" w:color="auto"/>
          </w:divBdr>
        </w:div>
      </w:divsChild>
    </w:div>
    <w:div w:id="2065173495">
      <w:bodyDiv w:val="1"/>
      <w:marLeft w:val="0"/>
      <w:marRight w:val="0"/>
      <w:marTop w:val="0"/>
      <w:marBottom w:val="0"/>
      <w:divBdr>
        <w:top w:val="none" w:sz="0" w:space="0" w:color="auto"/>
        <w:left w:val="none" w:sz="0" w:space="0" w:color="auto"/>
        <w:bottom w:val="none" w:sz="0" w:space="0" w:color="auto"/>
        <w:right w:val="none" w:sz="0" w:space="0" w:color="auto"/>
      </w:divBdr>
      <w:divsChild>
        <w:div w:id="11215329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F37D89-08F5-4717-A42D-1105C6FC1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5768</Words>
  <Characters>31153</Characters>
  <Application>Microsoft Office Word</Application>
  <DocSecurity>0</DocSecurity>
  <Lines>259</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Editor</dc:creator>
  <cp:keywords/>
  <dc:description/>
  <cp:lastModifiedBy>everson alisson</cp:lastModifiedBy>
  <cp:revision>2</cp:revision>
  <cp:lastPrinted>2024-07-11T15:55:00Z</cp:lastPrinted>
  <dcterms:created xsi:type="dcterms:W3CDTF">2026-03-23T13:21:00Z</dcterms:created>
  <dcterms:modified xsi:type="dcterms:W3CDTF">2026-03-23T13:21:00Z</dcterms:modified>
</cp:coreProperties>
</file>